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086"/>
        <w:gridCol w:w="1248"/>
        <w:gridCol w:w="1194"/>
        <w:gridCol w:w="328"/>
        <w:gridCol w:w="1388"/>
      </w:tblGrid>
      <w:tr w:rsidR="00E653C1" w:rsidRPr="00903376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7C60D0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1E64E8F7" w:rsidR="00E653C1" w:rsidRPr="00F67634" w:rsidRDefault="00F67634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4448314E" w:rsidR="00E653C1" w:rsidRPr="00E40003" w:rsidRDefault="00F37C4E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</w:tr>
      <w:tr w:rsidR="00E653C1" w:rsidRPr="00E40003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204A1BFB" w:rsidR="00E653C1" w:rsidRPr="00F67634" w:rsidRDefault="007C5AD7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  <w:r w:rsid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F67634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74EAC282" w:rsidR="00E653C1" w:rsidRPr="00E40003" w:rsidRDefault="00E40003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25369992" w:rsidR="00E653C1" w:rsidRPr="00F67634" w:rsidRDefault="00F67634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Elective</w:t>
            </w:r>
            <w:r w:rsidR="003966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903376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4120887D" w:rsidR="00E653C1" w:rsidRPr="00903376" w:rsidRDefault="00F67634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I, Accounting II, Evaluation of Investments in Agriculture</w:t>
            </w:r>
            <w:r w:rsidR="00903376" w:rsidRP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Financing and Financial </w:t>
            </w:r>
            <w:r w:rsid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Analysis of Businesses in Agriculture</w:t>
            </w:r>
          </w:p>
        </w:tc>
      </w:tr>
      <w:tr w:rsidR="00E653C1" w:rsidRPr="00903376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903376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61411702" w:rsidR="00E653C1" w:rsidRPr="0067466B" w:rsidRDefault="00354A3F" w:rsidP="0067466B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="0067466B" w:rsidRPr="0067466B">
                <w:rPr>
                  <w:rStyle w:val="Hyperlink"/>
                  <w:sz w:val="20"/>
                  <w:szCs w:val="20"/>
                  <w:lang w:val="en-GB"/>
                </w:rPr>
                <w:t>https://mediasrv.aua.gr/eclass/courses/934/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903376" w14:paraId="00F64BDE" w14:textId="77777777" w:rsidTr="00050B81">
        <w:tc>
          <w:tcPr>
            <w:tcW w:w="8472" w:type="dxa"/>
            <w:gridSpan w:val="2"/>
          </w:tcPr>
          <w:p w14:paraId="4E2E2735" w14:textId="5B45B637" w:rsidR="00F67634" w:rsidRDefault="00F67634" w:rsidP="00F676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a continuation of Accounting I</w:t>
            </w:r>
            <w:r w:rsidR="00903376" w:rsidRP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II</w:t>
            </w:r>
            <w:r w:rsidR="00903376" w:rsidRP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03376" w:rsidRP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of Investments in Agriculture</w:t>
            </w:r>
            <w:r w:rsid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 w:rsidR="00903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Financing and Financial Analysis of Businesses in Agriculture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focuses on the analysis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International Financial Reporting Standards (IFRS). In particular, the framework governing IFRSs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discussed 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well as the accounting treatment and disclosures required by each standard under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examination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1C0631A" w14:textId="77777777" w:rsidR="00F67634" w:rsidRPr="00F67634" w:rsidRDefault="00F67634" w:rsidP="00F676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319233" w14:textId="6A87B791" w:rsidR="00F67634" w:rsidRDefault="00F67634" w:rsidP="00F6763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based on the selected analysis of IFRS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of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case studies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that context. Thus,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holistic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picture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provided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standard under discussion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each time 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principles and rules that govern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application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analysis can be continued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postgraduate programs with emphasis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Accounting.</w:t>
            </w:r>
          </w:p>
          <w:p w14:paraId="52401F1C" w14:textId="6D2E62B7" w:rsidR="00316F6C" w:rsidRPr="00316F6C" w:rsidRDefault="00316F6C" w:rsidP="003A50F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903376" w14:paraId="17BE1343" w14:textId="77777777" w:rsidTr="00B25922">
        <w:tc>
          <w:tcPr>
            <w:tcW w:w="8472" w:type="dxa"/>
            <w:gridSpan w:val="2"/>
          </w:tcPr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BB69C2D" w14:textId="130FEF39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01AB01A5" w14:textId="739A2A69" w:rsidR="004659F0" w:rsidRDefault="00316F6C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4659F0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utonomous work</w:t>
            </w:r>
          </w:p>
          <w:p w14:paraId="7C59FE32" w14:textId="0F897A82" w:rsidR="00F67634" w:rsidRPr="00E40003" w:rsidRDefault="0027265D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</w:t>
            </w:r>
            <w:r w:rsid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research ideas</w:t>
            </w:r>
          </w:p>
          <w:p w14:paraId="186ABDD5" w14:textId="760B0155" w:rsidR="004659F0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Exercise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412B4"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al thought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self-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evaluation</w:t>
            </w:r>
          </w:p>
          <w:p w14:paraId="52015245" w14:textId="42BCA6CE" w:rsidR="00E653C1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903376" w14:paraId="657D4758" w14:textId="77777777" w:rsidTr="00952292">
        <w:tc>
          <w:tcPr>
            <w:tcW w:w="8472" w:type="dxa"/>
          </w:tcPr>
          <w:p w14:paraId="6704874A" w14:textId="11393B76" w:rsidR="00316F6C" w:rsidRPr="00734010" w:rsidRDefault="00F67634" w:rsidP="0073401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follow</w:t>
            </w:r>
            <w:r w:rsid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subsequent indicative structure:</w:t>
            </w:r>
          </w:p>
          <w:p w14:paraId="442DC321" w14:textId="1299377B" w:rsidR="00734010" w:rsidRPr="00354A3F" w:rsidRDefault="00903376" w:rsidP="00354A3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Reiteration</w:t>
            </w:r>
            <w:r w:rsidR="00734010"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basic financial accounting principles in the context of the international practice.</w:t>
            </w:r>
          </w:p>
          <w:p w14:paraId="0DA1AAA4" w14:textId="2EC6664E" w:rsidR="00354A3F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of the IASB</w:t>
            </w:r>
            <w:r w:rsidR="00354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Conceptual Framework</w:t>
            </w:r>
            <w:r w:rsidR="00354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8FB2F18" w14:textId="2771E857" w:rsidR="00734010" w:rsidRPr="00734010" w:rsidRDefault="00354A3F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1 presentation of the financial statements</w:t>
            </w:r>
            <w:r w:rsidR="00734010"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74A8FFA" w14:textId="57EB1F9B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IFRS</w:t>
            </w:r>
            <w:r w:rsidR="00354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15: Revenue from contracts with Customers. </w:t>
            </w:r>
          </w:p>
          <w:p w14:paraId="52821EA5" w14:textId="0C4F77BC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IAS 12: Income Taxes. </w:t>
            </w:r>
          </w:p>
          <w:p w14:paraId="37A1B4AF" w14:textId="77777777" w:rsidR="00354A3F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IAS 38: Intangible Assets </w:t>
            </w:r>
          </w:p>
          <w:p w14:paraId="64DE7BF4" w14:textId="5C5D1AD2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IAS 36: Impairment of Assets.</w:t>
            </w:r>
          </w:p>
          <w:p w14:paraId="46461B94" w14:textId="0297CDA4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Financial Instruments: IAS 32 (Presentation of Financial Instruments); IFRS 9 (Recognition and Measurement of Financial Instruments): IFRS 7 (Disclosures). </w:t>
            </w:r>
          </w:p>
          <w:p w14:paraId="0A9CD1BD" w14:textId="0DBB35A0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7: Statement of Cash Flows.</w:t>
            </w:r>
          </w:p>
          <w:p w14:paraId="4AD90D91" w14:textId="0D388820" w:rsidR="00354A3F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16: Property, Plant &amp; Equipment</w:t>
            </w:r>
          </w:p>
          <w:p w14:paraId="4CCAF03E" w14:textId="23A22ADB" w:rsidR="00354A3F" w:rsidRDefault="00354A3F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23: Borrowing Costs</w:t>
            </w:r>
          </w:p>
          <w:p w14:paraId="1A2D98AF" w14:textId="39625A8C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IAS 40: Investment Property. </w:t>
            </w:r>
          </w:p>
          <w:p w14:paraId="5EC13141" w14:textId="25A0FE96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IAS 37: Provisions, Contingent Liabilities and Contingent Assets. </w:t>
            </w:r>
          </w:p>
          <w:p w14:paraId="64C7AD03" w14:textId="77777777" w:rsidR="00354A3F" w:rsidRDefault="00354A3F" w:rsidP="00734010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IFRS 3: </w:t>
            </w:r>
            <w:r w:rsidR="00734010"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Business Combinations</w:t>
            </w:r>
          </w:p>
          <w:p w14:paraId="2EDCBE4C" w14:textId="1DB442C3" w:rsidR="002E5DC4" w:rsidRPr="00354A3F" w:rsidRDefault="00734010" w:rsidP="00354A3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Consolidation: IAS 27; IAS 28; IFRS 10; IFRS 11; IFRS 12. 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903376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903376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59C8FE15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903376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7C60D0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22C9661F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C6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Journal Entry 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Exercises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903376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B11EE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872F20F" w14:textId="77777777" w:rsidR="00734010" w:rsidRPr="00C76825" w:rsidRDefault="00734010" w:rsidP="00734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Χ. 2017. Διεθνή Πρότυπα Χρηματοοικονομικής Αναφοράς: Θεωρία και Εφαρμογές. Εκδόσεις Αειφόρος Λογιστική. Θεσσαλονίκη.</w:t>
            </w:r>
          </w:p>
          <w:p w14:paraId="3CBCCD44" w14:textId="77777777" w:rsidR="00734010" w:rsidRPr="00C76825" w:rsidRDefault="00734010" w:rsidP="007340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Χ. 2017. Διεθνή Πρότυπα Χρηματοοικονομικής Αναφοράς: Ειδικά Θέματα. Εκδόσεις Αειφόρος Λογιστική. Θεσσαλονίκη.</w:t>
            </w:r>
          </w:p>
          <w:p w14:paraId="321B7CCD" w14:textId="77777777" w:rsidR="00734010" w:rsidRPr="00C76825" w:rsidRDefault="00734010" w:rsidP="007340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Kieso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Weygandt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Warfield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. 2018. Λογιστική – Εκτενής Ανάλυση με ΔΠΧΑ. (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Χ.,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Σώρρος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Ι., Ζήσης Β.,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Παπαναστασόπουλος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Γ., Τζελέπης Δ.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, Αθήνα: Εκδόσεις Πασχαλίδης.</w:t>
            </w:r>
          </w:p>
          <w:p w14:paraId="36AC5F49" w14:textId="77777777" w:rsidR="00525213" w:rsidRPr="00E4000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11B8A" w:rsidRDefault="00DE0726" w:rsidP="00B11EED">
            <w:pPr>
              <w:pStyle w:val="Heading3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18C711BB" w14:textId="42A561A1" w:rsidR="00734010" w:rsidRDefault="00811B8A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Deloitte</w:t>
            </w:r>
            <w:r w:rsidR="00734010" w:rsidRPr="00734010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2018. IGAAP 2018: International IFRS Pack. Croner-</w:t>
            </w:r>
            <w:proofErr w:type="spellStart"/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. UK.</w:t>
            </w:r>
          </w:p>
          <w:p w14:paraId="27FFFD0A" w14:textId="77777777" w:rsidR="00734010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76825">
              <w:rPr>
                <w:rFonts w:cstheme="minorHAnsi"/>
                <w:sz w:val="20"/>
                <w:szCs w:val="20"/>
                <w:lang w:val="en-US"/>
              </w:rPr>
              <w:t>- Ernst &amp; Young. 2018. International GAAP 2018. John Wiley and Sons Ltd.</w:t>
            </w:r>
          </w:p>
          <w:p w14:paraId="229B34C3" w14:textId="77777777" w:rsidR="00734010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34010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>IFRS Foundation. 2018. IFRS Standards. IFRS Foundation.</w:t>
            </w:r>
          </w:p>
          <w:p w14:paraId="3743E54C" w14:textId="77777777" w:rsidR="00734010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GB"/>
              </w:rPr>
              <w:t>Stolowy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C76825">
              <w:rPr>
                <w:rFonts w:cstheme="minorHAnsi"/>
                <w:sz w:val="20"/>
                <w:szCs w:val="20"/>
              </w:rPr>
              <w:t>Η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C76825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GB"/>
              </w:rPr>
              <w:t>Lebas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 J. M. 2017. </w:t>
            </w:r>
            <w:r w:rsidRPr="00C76825">
              <w:rPr>
                <w:rFonts w:cstheme="minorHAnsi"/>
                <w:sz w:val="20"/>
                <w:szCs w:val="20"/>
                <w:lang w:val="en-GB"/>
              </w:rPr>
              <w:t xml:space="preserve">Financial Accounting and Reporting, A global perspective. 5e. 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>Thomson.</w:t>
            </w:r>
          </w:p>
          <w:p w14:paraId="42C060E3" w14:textId="77777777" w:rsidR="00734010" w:rsidRPr="00C76825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 w:rsidRPr="00C76825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- Picker, R., Clark, K., Dunn, J.,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US"/>
              </w:rPr>
              <w:t>Kolitz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US"/>
              </w:rPr>
              <w:t>Livne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, G., Loftus, J. and Van der Tas, L. 2016. Applying IFRS Standards. 4th edition. John Wiley &amp; Sons. </w:t>
            </w:r>
          </w:p>
          <w:p w14:paraId="12E7E32A" w14:textId="6951BADB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D13BEB1" w14:textId="413DECEE" w:rsid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Organizations &amp; Society (Rank: Association of Business Schools Journal List 4*)</w:t>
            </w:r>
          </w:p>
          <w:p w14:paraId="66301E0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50B4D0CC" w:rsidR="00E653C1" w:rsidRPr="00CE4957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 w:rsidP="00B11EE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F54BF"/>
    <w:multiLevelType w:val="hybridMultilevel"/>
    <w:tmpl w:val="CEA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B55CF"/>
    <w:multiLevelType w:val="hybridMultilevel"/>
    <w:tmpl w:val="429EF394"/>
    <w:lvl w:ilvl="0" w:tplc="142A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0"/>
  </w:num>
  <w:num w:numId="4">
    <w:abstractNumId w:val="17"/>
  </w:num>
  <w:num w:numId="5">
    <w:abstractNumId w:val="40"/>
  </w:num>
  <w:num w:numId="6">
    <w:abstractNumId w:val="12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"/>
  </w:num>
  <w:num w:numId="14">
    <w:abstractNumId w:val="32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23"/>
  </w:num>
  <w:num w:numId="24">
    <w:abstractNumId w:val="27"/>
  </w:num>
  <w:num w:numId="25">
    <w:abstractNumId w:val="39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1"/>
  </w:num>
  <w:num w:numId="31">
    <w:abstractNumId w:val="34"/>
  </w:num>
  <w:num w:numId="32">
    <w:abstractNumId w:val="14"/>
  </w:num>
  <w:num w:numId="33">
    <w:abstractNumId w:val="13"/>
  </w:num>
  <w:num w:numId="34">
    <w:abstractNumId w:val="7"/>
  </w:num>
  <w:num w:numId="35">
    <w:abstractNumId w:val="41"/>
  </w:num>
  <w:num w:numId="36">
    <w:abstractNumId w:val="19"/>
  </w:num>
  <w:num w:numId="37">
    <w:abstractNumId w:val="31"/>
  </w:num>
  <w:num w:numId="38">
    <w:abstractNumId w:val="9"/>
  </w:num>
  <w:num w:numId="39">
    <w:abstractNumId w:val="37"/>
  </w:num>
  <w:num w:numId="40">
    <w:abstractNumId w:val="8"/>
  </w:num>
  <w:num w:numId="41">
    <w:abstractNumId w:val="18"/>
  </w:num>
  <w:num w:numId="42">
    <w:abstractNumId w:val="2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93269"/>
    <w:rsid w:val="001A3F9B"/>
    <w:rsid w:val="001D341B"/>
    <w:rsid w:val="001F5484"/>
    <w:rsid w:val="002110BE"/>
    <w:rsid w:val="002126D3"/>
    <w:rsid w:val="002634E4"/>
    <w:rsid w:val="0027265D"/>
    <w:rsid w:val="00276A2A"/>
    <w:rsid w:val="00291815"/>
    <w:rsid w:val="002B37F5"/>
    <w:rsid w:val="002E583F"/>
    <w:rsid w:val="002E5DC4"/>
    <w:rsid w:val="00316F6C"/>
    <w:rsid w:val="00354A3F"/>
    <w:rsid w:val="0035777A"/>
    <w:rsid w:val="00386E36"/>
    <w:rsid w:val="003966CD"/>
    <w:rsid w:val="003A50F6"/>
    <w:rsid w:val="003B45BC"/>
    <w:rsid w:val="003C2280"/>
    <w:rsid w:val="003C27A8"/>
    <w:rsid w:val="003C2B47"/>
    <w:rsid w:val="0040051B"/>
    <w:rsid w:val="00444449"/>
    <w:rsid w:val="004659F0"/>
    <w:rsid w:val="0049495F"/>
    <w:rsid w:val="004958A6"/>
    <w:rsid w:val="004D2A18"/>
    <w:rsid w:val="004F5816"/>
    <w:rsid w:val="00520367"/>
    <w:rsid w:val="00525213"/>
    <w:rsid w:val="005256C8"/>
    <w:rsid w:val="0053368C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7466B"/>
    <w:rsid w:val="006A29BB"/>
    <w:rsid w:val="006D2CC9"/>
    <w:rsid w:val="006F09D3"/>
    <w:rsid w:val="007160A5"/>
    <w:rsid w:val="00726337"/>
    <w:rsid w:val="00734010"/>
    <w:rsid w:val="00795E94"/>
    <w:rsid w:val="007A47D3"/>
    <w:rsid w:val="007A77E4"/>
    <w:rsid w:val="007B2FFF"/>
    <w:rsid w:val="007C5AD7"/>
    <w:rsid w:val="007C60D0"/>
    <w:rsid w:val="007D1F85"/>
    <w:rsid w:val="00811B8A"/>
    <w:rsid w:val="008343A9"/>
    <w:rsid w:val="008F6841"/>
    <w:rsid w:val="00903376"/>
    <w:rsid w:val="00907017"/>
    <w:rsid w:val="00923B16"/>
    <w:rsid w:val="0094771B"/>
    <w:rsid w:val="00952292"/>
    <w:rsid w:val="00974C95"/>
    <w:rsid w:val="009A0DEB"/>
    <w:rsid w:val="009C7B7E"/>
    <w:rsid w:val="009D679C"/>
    <w:rsid w:val="00A10E5C"/>
    <w:rsid w:val="00A13F71"/>
    <w:rsid w:val="00A17C67"/>
    <w:rsid w:val="00A45BD0"/>
    <w:rsid w:val="00A52892"/>
    <w:rsid w:val="00A65960"/>
    <w:rsid w:val="00A84964"/>
    <w:rsid w:val="00A9240F"/>
    <w:rsid w:val="00B11EED"/>
    <w:rsid w:val="00B25922"/>
    <w:rsid w:val="00B423F0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CE4957"/>
    <w:rsid w:val="00D12945"/>
    <w:rsid w:val="00D16C4B"/>
    <w:rsid w:val="00D32469"/>
    <w:rsid w:val="00D84B0E"/>
    <w:rsid w:val="00DE0726"/>
    <w:rsid w:val="00E40003"/>
    <w:rsid w:val="00E653C1"/>
    <w:rsid w:val="00E9504B"/>
    <w:rsid w:val="00EE7E02"/>
    <w:rsid w:val="00EF0ADE"/>
    <w:rsid w:val="00F003F3"/>
    <w:rsid w:val="00F37C4E"/>
    <w:rsid w:val="00F67634"/>
    <w:rsid w:val="00F932E8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9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Georgios Georgakopoulos</cp:lastModifiedBy>
  <cp:revision>33</cp:revision>
  <dcterms:created xsi:type="dcterms:W3CDTF">2019-04-06T06:41:00Z</dcterms:created>
  <dcterms:modified xsi:type="dcterms:W3CDTF">2021-09-27T16:58:00Z</dcterms:modified>
</cp:coreProperties>
</file>