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E3" w:rsidRPr="00183F92" w:rsidRDefault="003620E3" w:rsidP="003620E3">
      <w:pPr>
        <w:pStyle w:val="Title"/>
      </w:pPr>
      <w:bookmarkStart w:id="0" w:name="_GoBack"/>
      <w:bookmarkEnd w:id="0"/>
      <w:r>
        <w:t xml:space="preserve">Α΄ Πρόοδος στο μάθημα της Στατιστικής       </w:t>
      </w:r>
    </w:p>
    <w:p w:rsidR="003620E3" w:rsidRPr="002369F0" w:rsidRDefault="003620E3" w:rsidP="003620E3">
      <w:pPr>
        <w:pStyle w:val="Subtitle"/>
      </w:pPr>
    </w:p>
    <w:p w:rsidR="003620E3" w:rsidRPr="00646036" w:rsidRDefault="003620E3" w:rsidP="003620E3">
      <w:pPr>
        <w:autoSpaceDE w:val="0"/>
        <w:autoSpaceDN w:val="0"/>
        <w:adjustRightInd w:val="0"/>
        <w:spacing w:after="0"/>
        <w:jc w:val="both"/>
        <w:rPr>
          <w:rFonts w:cs="TimesNewRomanPSMT"/>
        </w:rPr>
      </w:pPr>
      <w:r w:rsidRPr="00646036">
        <w:rPr>
          <w:rFonts w:cs="TimesNewRomanPS-BoldMT"/>
          <w:b/>
          <w:bCs/>
        </w:rPr>
        <w:t xml:space="preserve">1. </w:t>
      </w:r>
      <w:r w:rsidRPr="00646036">
        <w:rPr>
          <w:rFonts w:cs="TimesNewRomanPS-BoldMT"/>
          <w:bCs/>
        </w:rPr>
        <w:t>Μετρήθηκε από έ</w:t>
      </w:r>
      <w:r w:rsidRPr="00646036">
        <w:rPr>
          <w:rFonts w:cs="TimesNewRomanPSMT"/>
        </w:rPr>
        <w:t xml:space="preserve">να φοιτητή του </w:t>
      </w:r>
      <w:r w:rsidRPr="00646036">
        <w:rPr>
          <w:rFonts w:cs="TimesNewRomanPS-ItalicMT"/>
          <w:i/>
          <w:iCs/>
        </w:rPr>
        <w:t>Γ.Π.Α.</w:t>
      </w:r>
      <w:r w:rsidRPr="00A814E1">
        <w:rPr>
          <w:rFonts w:cs="TimesNewRomanPS-ItalicMT"/>
          <w:i/>
          <w:iCs/>
        </w:rPr>
        <w:t xml:space="preserve">, </w:t>
      </w:r>
      <w:r w:rsidRPr="00646036">
        <w:rPr>
          <w:rFonts w:cs="TimesNewRomanPS-BoldMT"/>
          <w:bCs/>
        </w:rPr>
        <w:t>η ποσότητα καλίου που περιέχεται στις μπανάνες και στα ακτινίδια</w:t>
      </w:r>
      <w:r w:rsidRPr="00646036">
        <w:rPr>
          <w:rFonts w:cs="TimesNewRomanPS-ItalicMT"/>
          <w:i/>
          <w:iCs/>
        </w:rPr>
        <w:t xml:space="preserve">. </w:t>
      </w:r>
      <w:r w:rsidRPr="00646036">
        <w:rPr>
          <w:rFonts w:cs="TimesNewRomanPS-ItalicMT"/>
          <w:iCs/>
        </w:rPr>
        <w:t xml:space="preserve">Ο φοιτητής </w:t>
      </w:r>
      <w:r w:rsidRPr="00646036">
        <w:rPr>
          <w:rFonts w:cs="TimesNewRomanPSMT"/>
        </w:rPr>
        <w:t xml:space="preserve">πήρε εννέα τυχαία δείγματα από μπανάνες </w:t>
      </w:r>
      <w:r>
        <w:rPr>
          <w:rFonts w:cs="TimesNewRomanPSMT"/>
        </w:rPr>
        <w:t>με</w:t>
      </w:r>
      <w:r w:rsidRPr="00646036">
        <w:rPr>
          <w:rFonts w:cs="TimesNewRomanPSMT"/>
        </w:rPr>
        <w:t xml:space="preserve"> τα παρακάτω αποτελέσματα (σε milligrams/100gr): 340, 300, </w:t>
      </w:r>
      <w:r>
        <w:rPr>
          <w:rFonts w:cs="TimesNewRomanPSMT"/>
        </w:rPr>
        <w:t xml:space="preserve">330, </w:t>
      </w:r>
      <w:r w:rsidRPr="00646036">
        <w:rPr>
          <w:rFonts w:cs="TimesNewRomanPSMT"/>
        </w:rPr>
        <w:t>340</w:t>
      </w:r>
      <w:r>
        <w:rPr>
          <w:rFonts w:cs="TimesNewRomanPSMT"/>
        </w:rPr>
        <w:t>, 320, 290, 330, 320, 310</w:t>
      </w:r>
      <w:r w:rsidRPr="00646036">
        <w:rPr>
          <w:rFonts w:cs="TimesNewRomanPSMT"/>
        </w:rPr>
        <w:t xml:space="preserve"> και οκτώ δείγματα από ακτινίδια (σε milligrams/100gr): 300, 300, 310, 290, 280, 285, </w:t>
      </w:r>
      <w:r>
        <w:rPr>
          <w:rFonts w:cs="TimesNewRomanPSMT"/>
        </w:rPr>
        <w:t xml:space="preserve">280, </w:t>
      </w:r>
      <w:r w:rsidRPr="00646036">
        <w:rPr>
          <w:rFonts w:cs="TimesNewRomanPSMT"/>
        </w:rPr>
        <w:t xml:space="preserve">275. Να υπολογιστούν η μέση τιμή, η διασπορά, η τυπική απόκλιση, η διάμεσος, το </w:t>
      </w:r>
      <w:proofErr w:type="spellStart"/>
      <w:r w:rsidRPr="00646036">
        <w:rPr>
          <w:rFonts w:cs="TimesNewRomanPSMT"/>
        </w:rPr>
        <w:t>ενδοτεταρτημοριακό</w:t>
      </w:r>
      <w:proofErr w:type="spellEnd"/>
      <w:r w:rsidRPr="00646036">
        <w:rPr>
          <w:rFonts w:cs="TimesNewRomanPSMT"/>
        </w:rPr>
        <w:t xml:space="preserve"> εύρος και ο συντελεστής μεταβλητότητας των δύο δειγμάτων και να κατασκευαστούν </w:t>
      </w:r>
      <w:r w:rsidRPr="004C7364">
        <w:rPr>
          <w:rFonts w:cs="TimesNewRomanPSMT"/>
        </w:rPr>
        <w:t>πρ</w:t>
      </w:r>
      <w:r>
        <w:rPr>
          <w:rFonts w:cs="TimesNewRomanPSMT"/>
        </w:rPr>
        <w:t xml:space="preserve">όχειρα </w:t>
      </w:r>
      <w:r w:rsidRPr="00646036">
        <w:rPr>
          <w:rFonts w:cs="TimesNewRomanPSMT"/>
        </w:rPr>
        <w:t xml:space="preserve">τα αντίστοιχα </w:t>
      </w:r>
      <w:proofErr w:type="spellStart"/>
      <w:r w:rsidRPr="00646036">
        <w:rPr>
          <w:rFonts w:cs="TimesNewRomanPSMT"/>
        </w:rPr>
        <w:t>θηκογράμματα</w:t>
      </w:r>
      <w:proofErr w:type="spellEnd"/>
      <w:r w:rsidRPr="00646036">
        <w:rPr>
          <w:rFonts w:cs="TimesNewRomanPSMT"/>
        </w:rPr>
        <w:t>.</w:t>
      </w:r>
      <w:r>
        <w:rPr>
          <w:rFonts w:cs="TimesNewRomanPSMT"/>
        </w:rPr>
        <w:t xml:space="preserve"> </w:t>
      </w:r>
      <w:r w:rsidRPr="00646036">
        <w:rPr>
          <w:rFonts w:cs="TimesNewRomanPSMT"/>
        </w:rPr>
        <w:t>Να συγκρίνετε τις κατανομές των δύο δειγμάτων ως προς τη θέση και τη μεταβλητότητα.</w:t>
      </w:r>
    </w:p>
    <w:p w:rsidR="003620E3" w:rsidRPr="00646036" w:rsidRDefault="003620E3" w:rsidP="003620E3">
      <w:pPr>
        <w:autoSpaceDE w:val="0"/>
        <w:autoSpaceDN w:val="0"/>
        <w:adjustRightInd w:val="0"/>
        <w:spacing w:after="0"/>
        <w:jc w:val="both"/>
      </w:pPr>
    </w:p>
    <w:p w:rsidR="003620E3" w:rsidRPr="00646036" w:rsidRDefault="003620E3" w:rsidP="003620E3">
      <w:pPr>
        <w:jc w:val="both"/>
      </w:pPr>
      <w:r>
        <w:rPr>
          <w:b/>
        </w:rPr>
        <w:t xml:space="preserve">2. </w:t>
      </w:r>
      <w:r w:rsidRPr="00646036">
        <w:t xml:space="preserve">Το 2% ενός πληθυσμού πάσχει από μια συγκεκριμένη ασθένεια. Για τη διάγνωση της ασθένειας γίνεται μια εξέταση η οποία δίνει σωστή διάγνωση στο 95% των περιπτώσεων όταν το εξεταζόμενο άτομο πάσχει από την ασθένεια και στο 90% των περιπτώσεων όταν δεν πάσχει από την ασθένεια. </w:t>
      </w:r>
      <w:r w:rsidRPr="00646036">
        <w:rPr>
          <w:b/>
        </w:rPr>
        <w:t>(α)</w:t>
      </w:r>
      <w:r w:rsidRPr="00646036">
        <w:t xml:space="preserve"> Επιλέγεται τυχαία ένα άτομο και υποβάλλεται στην εξέταση. Ποια είναι η πιθανότητα το αποτέλεσμα της εξέτασης να είναι θετικό, δηλαδή να δείχνει ότι το άτομο πάσχει από την ασθένεια. </w:t>
      </w:r>
      <w:r w:rsidRPr="00646036">
        <w:rPr>
          <w:b/>
        </w:rPr>
        <w:t xml:space="preserve">(β) </w:t>
      </w:r>
      <w:r w:rsidRPr="00646036">
        <w:t xml:space="preserve">Επιλέγεται τυχαία ένα άτομο, υποβάλλεται στην εξέταση και η εξέταση δίνει θετικό αποτέλεσμα. Ποια είναι η πιθανότητα το άτομο αυτό να πάσχει πράγματι από την ασθένεια. </w:t>
      </w:r>
      <w:r w:rsidRPr="00646036">
        <w:rPr>
          <w:b/>
        </w:rPr>
        <w:t xml:space="preserve">(γ) </w:t>
      </w:r>
      <w:r w:rsidRPr="00646036">
        <w:t>Επιλέγονται τυχαία 5 άτομα, υποβάλλονται στην εξέταση και το αποτέλεσμα και στις πέντε περιπτώσεις είναι θετικό. Ποια είναι η πιθανότητα τουλάχιστον δύο από αυτά πράγματι να πάσχουν από την ασθένεια.</w:t>
      </w:r>
    </w:p>
    <w:p w:rsidR="003620E3" w:rsidRDefault="003620E3" w:rsidP="003620E3">
      <w:pPr>
        <w:autoSpaceDE w:val="0"/>
        <w:autoSpaceDN w:val="0"/>
        <w:adjustRightInd w:val="0"/>
        <w:spacing w:after="0"/>
        <w:jc w:val="both"/>
        <w:rPr>
          <w:rFonts w:cs="TimesNewRomanPSMT"/>
        </w:rPr>
      </w:pPr>
      <w:r w:rsidRPr="003620E3">
        <w:rPr>
          <w:rFonts w:cs="TimesNewRomanPSMT"/>
          <w:b/>
        </w:rPr>
        <w:t>3</w:t>
      </w:r>
      <w:r w:rsidRPr="00646036">
        <w:rPr>
          <w:rFonts w:cs="TimesNewRomanPSMT"/>
          <w:b/>
        </w:rPr>
        <w:t>.</w:t>
      </w:r>
      <w:r w:rsidRPr="00646036">
        <w:rPr>
          <w:rFonts w:cs="TimesNewRomanPSMT"/>
        </w:rPr>
        <w:t xml:space="preserve"> Σύμφωνα με μελέτη, η τυχαία μεταβλητή, έστω </w:t>
      </w:r>
      <w:r w:rsidRPr="00646036">
        <w:rPr>
          <w:rFonts w:cs="TimesNewRomanPS-ItalicMT"/>
          <w:i/>
          <w:iCs/>
        </w:rPr>
        <w:t>Χ</w:t>
      </w:r>
      <w:r w:rsidRPr="00646036">
        <w:rPr>
          <w:rFonts w:cs="TimesNewRomanPSMT"/>
        </w:rPr>
        <w:t xml:space="preserve">, που εκφράζει το μήκος του ψαριού </w:t>
      </w:r>
      <w:proofErr w:type="spellStart"/>
      <w:r w:rsidRPr="00646036">
        <w:rPr>
          <w:rFonts w:cs="TimesNewRomanPS-ItalicMT"/>
          <w:i/>
          <w:iCs/>
        </w:rPr>
        <w:t>μπράνα</w:t>
      </w:r>
      <w:proofErr w:type="spellEnd"/>
      <w:r>
        <w:rPr>
          <w:rFonts w:cs="TimesNewRomanPS-ItalicMT"/>
          <w:i/>
          <w:iCs/>
        </w:rPr>
        <w:t xml:space="preserve"> </w:t>
      </w:r>
      <w:r w:rsidRPr="00646036">
        <w:rPr>
          <w:rFonts w:cs="TimesNewRomanPSMT"/>
        </w:rPr>
        <w:t xml:space="preserve">που ενδημεί στη Μεγάλη Πρέσπα ακολουθεί </w:t>
      </w:r>
      <w:r>
        <w:rPr>
          <w:rFonts w:cs="TimesNewRomanPSMT"/>
        </w:rPr>
        <w:t>μια</w:t>
      </w:r>
      <w:r w:rsidRPr="00646036">
        <w:rPr>
          <w:rFonts w:cs="TimesNewRomanPSMT"/>
        </w:rPr>
        <w:t xml:space="preserve"> κανονική κατανομή με μέση τιμή </w:t>
      </w:r>
      <w:r w:rsidRPr="00646036">
        <w:rPr>
          <w:rFonts w:eastAsia="SymbolMT" w:cs="SymbolMT"/>
        </w:rPr>
        <w:t xml:space="preserve">μ = </w:t>
      </w:r>
      <w:r w:rsidRPr="00646036">
        <w:rPr>
          <w:rFonts w:cs="TimesNewRomanPSMT"/>
        </w:rPr>
        <w:t>20</w:t>
      </w:r>
      <w:r w:rsidRPr="00646036">
        <w:rPr>
          <w:rFonts w:cs="TimesNewRomanPS-ItalicMT"/>
          <w:i/>
          <w:iCs/>
        </w:rPr>
        <w:t xml:space="preserve">cm </w:t>
      </w:r>
      <w:r w:rsidRPr="00646036">
        <w:rPr>
          <w:rFonts w:cs="TimesNewRomanPSMT"/>
        </w:rPr>
        <w:t xml:space="preserve">και τυπική απόκλιση </w:t>
      </w:r>
      <w:r w:rsidRPr="00646036">
        <w:rPr>
          <w:rFonts w:eastAsia="SymbolMT" w:cs="SymbolMT"/>
        </w:rPr>
        <w:t xml:space="preserve">σ = </w:t>
      </w:r>
      <w:r w:rsidRPr="00646036">
        <w:rPr>
          <w:rFonts w:cs="TimesNewRomanPSMT"/>
        </w:rPr>
        <w:t>5</w:t>
      </w:r>
      <w:r w:rsidRPr="00646036">
        <w:rPr>
          <w:rFonts w:cs="TimesNewRomanPS-ItalicMT"/>
          <w:i/>
          <w:iCs/>
        </w:rPr>
        <w:t xml:space="preserve">cm </w:t>
      </w:r>
      <w:r w:rsidRPr="00646036">
        <w:rPr>
          <w:rFonts w:cs="TimesNewRomanPSMT"/>
        </w:rPr>
        <w:t xml:space="preserve">. </w:t>
      </w:r>
      <w:r w:rsidRPr="00646036">
        <w:rPr>
          <w:rFonts w:cs="TimesNewRomanPS-BoldMT"/>
          <w:b/>
          <w:bCs/>
        </w:rPr>
        <w:t xml:space="preserve">α) </w:t>
      </w:r>
      <w:r w:rsidRPr="00646036">
        <w:rPr>
          <w:rFonts w:cs="TimesNewRomanPSMT"/>
        </w:rPr>
        <w:t xml:space="preserve">Ψαρεύετε ένα ψάρι </w:t>
      </w:r>
      <w:proofErr w:type="spellStart"/>
      <w:r w:rsidRPr="00646036">
        <w:rPr>
          <w:rFonts w:cs="TimesNewRomanPS-ItalicMT"/>
          <w:i/>
          <w:iCs/>
        </w:rPr>
        <w:t>μπράνα</w:t>
      </w:r>
      <w:proofErr w:type="spellEnd"/>
      <w:r w:rsidRPr="00646036">
        <w:rPr>
          <w:rFonts w:cs="TimesNewRomanPS-ItalicMT"/>
          <w:i/>
          <w:iCs/>
        </w:rPr>
        <w:t xml:space="preserve"> </w:t>
      </w:r>
      <w:r w:rsidRPr="00646036">
        <w:rPr>
          <w:rFonts w:cs="TimesNewRomanPSMT"/>
        </w:rPr>
        <w:t xml:space="preserve">από τη Μεγάλη Πρέσπα. Ποια είναι η πιθανότητα το μήκος του να είναι μεγαλύτερο από 19 </w:t>
      </w:r>
      <w:r w:rsidRPr="00646036">
        <w:rPr>
          <w:rFonts w:cs="TimesNewRomanPS-ItalicMT"/>
          <w:i/>
          <w:iCs/>
        </w:rPr>
        <w:t xml:space="preserve">cm </w:t>
      </w:r>
      <w:r w:rsidRPr="00646036">
        <w:rPr>
          <w:rFonts w:cs="TimesNewRomanPSMT"/>
        </w:rPr>
        <w:t>αλλά να μην ξεπερνάει τα 22</w:t>
      </w:r>
      <w:r w:rsidRPr="00646036">
        <w:rPr>
          <w:rFonts w:cs="TimesNewRomanPS-ItalicMT"/>
          <w:i/>
          <w:iCs/>
        </w:rPr>
        <w:t xml:space="preserve">cm. </w:t>
      </w:r>
      <w:r w:rsidRPr="00646036">
        <w:rPr>
          <w:rFonts w:cs="TimesNewRomanPS-BoldMT"/>
          <w:b/>
          <w:bCs/>
        </w:rPr>
        <w:t xml:space="preserve">β) </w:t>
      </w:r>
      <w:r w:rsidRPr="00646036">
        <w:rPr>
          <w:rFonts w:cs="TimesNewRomanPSMT"/>
        </w:rPr>
        <w:t xml:space="preserve">Να προσδιορίσετε ένα συμμετρικό ως προς τη μέση τιμή της </w:t>
      </w:r>
      <w:r w:rsidRPr="00646036">
        <w:rPr>
          <w:rFonts w:cs="TimesNewRomanPS-ItalicMT"/>
          <w:i/>
          <w:iCs/>
        </w:rPr>
        <w:t xml:space="preserve">Χ </w:t>
      </w:r>
      <w:r w:rsidRPr="00646036">
        <w:rPr>
          <w:rFonts w:cs="TimesNewRomanPSMT"/>
        </w:rPr>
        <w:t xml:space="preserve">διάστημα, εντός του οποίου να βρίσκονται τα μήκη του 95% των ψαριών </w:t>
      </w:r>
      <w:proofErr w:type="spellStart"/>
      <w:r w:rsidRPr="00646036">
        <w:rPr>
          <w:rFonts w:cs="TimesNewRomanPS-ItalicMT"/>
          <w:i/>
          <w:iCs/>
        </w:rPr>
        <w:t>μπράνα</w:t>
      </w:r>
      <w:proofErr w:type="spellEnd"/>
      <w:r w:rsidRPr="00646036">
        <w:rPr>
          <w:rFonts w:cs="TimesNewRomanPS-ItalicMT"/>
          <w:i/>
          <w:iCs/>
        </w:rPr>
        <w:t xml:space="preserve"> </w:t>
      </w:r>
      <w:r w:rsidRPr="00646036">
        <w:rPr>
          <w:rFonts w:cs="TimesNewRomanPSMT"/>
        </w:rPr>
        <w:t xml:space="preserve">της Μεγάλης Πρέσπας. </w:t>
      </w:r>
      <w:r w:rsidRPr="00646036">
        <w:rPr>
          <w:rFonts w:cs="TimesNewRomanPS-BoldMT"/>
          <w:b/>
          <w:bCs/>
        </w:rPr>
        <w:t xml:space="preserve">γ) </w:t>
      </w:r>
      <w:r w:rsidRPr="00646036">
        <w:rPr>
          <w:rFonts w:cs="TimesNewRomanPSMT"/>
        </w:rPr>
        <w:t xml:space="preserve">Ψαρεύετε 5 ψάρια </w:t>
      </w:r>
      <w:proofErr w:type="spellStart"/>
      <w:r w:rsidRPr="00646036">
        <w:rPr>
          <w:rFonts w:cs="TimesNewRomanPS-ItalicMT"/>
          <w:i/>
          <w:iCs/>
        </w:rPr>
        <w:t>μπράνα</w:t>
      </w:r>
      <w:proofErr w:type="spellEnd"/>
      <w:r w:rsidRPr="00646036">
        <w:rPr>
          <w:rFonts w:cs="TimesNewRomanPS-ItalicMT"/>
          <w:i/>
          <w:iCs/>
        </w:rPr>
        <w:t xml:space="preserve"> </w:t>
      </w:r>
      <w:r w:rsidRPr="00646036">
        <w:rPr>
          <w:rFonts w:cs="TimesNewRomanPSMT"/>
        </w:rPr>
        <w:t xml:space="preserve">από τη Μεγάλη Πρέσπα. Ποια είναι η πιθανότητα το </w:t>
      </w:r>
      <w:r w:rsidRPr="00646036">
        <w:rPr>
          <w:rFonts w:cs="TimesNewRomanPS-BoldMT"/>
          <w:b/>
          <w:bCs/>
        </w:rPr>
        <w:t xml:space="preserve">μέσο </w:t>
      </w:r>
      <w:r w:rsidRPr="00646036">
        <w:rPr>
          <w:rFonts w:cs="TimesNewRomanPSMT"/>
        </w:rPr>
        <w:t>μήκος τους να είναι μικρότερο από 13</w:t>
      </w:r>
      <w:r w:rsidRPr="00646036">
        <w:rPr>
          <w:rFonts w:cs="TimesNewRomanPS-ItalicMT"/>
          <w:i/>
          <w:iCs/>
        </w:rPr>
        <w:t>cm</w:t>
      </w:r>
      <w:r w:rsidRPr="00646036">
        <w:rPr>
          <w:rFonts w:cs="TimesNewRomanPSMT"/>
        </w:rPr>
        <w:t>.</w:t>
      </w:r>
    </w:p>
    <w:p w:rsidR="003620E3" w:rsidRPr="00646036" w:rsidRDefault="003620E3" w:rsidP="003620E3">
      <w:pPr>
        <w:autoSpaceDE w:val="0"/>
        <w:autoSpaceDN w:val="0"/>
        <w:adjustRightInd w:val="0"/>
        <w:spacing w:after="0"/>
        <w:jc w:val="both"/>
        <w:rPr>
          <w:rFonts w:cs="TimesNewRomanPSMT"/>
        </w:rPr>
      </w:pPr>
    </w:p>
    <w:p w:rsidR="003620E3" w:rsidRDefault="003620E3" w:rsidP="003620E3">
      <w:pPr>
        <w:autoSpaceDE w:val="0"/>
        <w:autoSpaceDN w:val="0"/>
        <w:adjustRightInd w:val="0"/>
        <w:spacing w:after="0"/>
        <w:jc w:val="both"/>
        <w:rPr>
          <w:rFonts w:cs="TimesNewRomanPSMT"/>
        </w:rPr>
      </w:pPr>
      <w:r w:rsidRPr="003620E3">
        <w:rPr>
          <w:rFonts w:cs="TimesNewRomanPS-BoldMT"/>
          <w:b/>
          <w:bCs/>
        </w:rPr>
        <w:t>4</w:t>
      </w:r>
      <w:r>
        <w:rPr>
          <w:rFonts w:cs="TimesNewRomanPS-BoldMT"/>
          <w:b/>
          <w:bCs/>
        </w:rPr>
        <w:t xml:space="preserve">. </w:t>
      </w:r>
      <w:r>
        <w:rPr>
          <w:b/>
        </w:rPr>
        <w:t>[2</w:t>
      </w:r>
      <w:r w:rsidRPr="00646036">
        <w:rPr>
          <w:b/>
        </w:rPr>
        <w:t xml:space="preserve">0] </w:t>
      </w:r>
      <w:r w:rsidRPr="004C7364">
        <w:rPr>
          <w:rFonts w:cs="TimesNewRomanPS-BoldMT"/>
          <w:b/>
          <w:bCs/>
        </w:rPr>
        <w:t xml:space="preserve"> </w:t>
      </w:r>
      <w:r w:rsidRPr="004C7364">
        <w:rPr>
          <w:rFonts w:cs="TimesNewRomanPSMT"/>
        </w:rPr>
        <w:t xml:space="preserve">Έχει παρατηρηθεί ότι ο αριθμός </w:t>
      </w:r>
      <w:proofErr w:type="spellStart"/>
      <w:r w:rsidRPr="004C7364">
        <w:rPr>
          <w:rFonts w:cs="TimesNewRomanPS-ItalicMT"/>
          <w:i/>
          <w:iCs/>
        </w:rPr>
        <w:t>X</w:t>
      </w:r>
      <w:r w:rsidRPr="00BC3BAB">
        <w:rPr>
          <w:rFonts w:cs="TimesNewRomanPS-ItalicMT"/>
          <w:i/>
          <w:iCs/>
          <w:vertAlign w:val="subscript"/>
        </w:rPr>
        <w:t>t</w:t>
      </w:r>
      <w:proofErr w:type="spellEnd"/>
      <w:r w:rsidRPr="004C7364">
        <w:rPr>
          <w:rFonts w:cs="TimesNewRomanPS-ItalicMT"/>
          <w:i/>
          <w:iCs/>
        </w:rPr>
        <w:t xml:space="preserve"> </w:t>
      </w:r>
      <w:r w:rsidRPr="004C7364">
        <w:rPr>
          <w:rFonts w:cs="TimesNewRomanPSMT"/>
        </w:rPr>
        <w:t xml:space="preserve">των περιστατικών τροφικής δηλητηρίασης στο νομό Γρεβενών από άγρια μανιτάρια του είδους </w:t>
      </w:r>
      <w:proofErr w:type="spellStart"/>
      <w:r w:rsidRPr="004C7364">
        <w:rPr>
          <w:rFonts w:cs="TimesNewRomanPSMT"/>
        </w:rPr>
        <w:t>amanita</w:t>
      </w:r>
      <w:proofErr w:type="spellEnd"/>
      <w:r w:rsidRPr="004C7364">
        <w:rPr>
          <w:rFonts w:cs="TimesNewRomanPSMT"/>
        </w:rPr>
        <w:t xml:space="preserve"> </w:t>
      </w:r>
      <w:proofErr w:type="spellStart"/>
      <w:r w:rsidRPr="004C7364">
        <w:rPr>
          <w:rFonts w:cs="TimesNewRomanPSMT"/>
        </w:rPr>
        <w:t>uscaria</w:t>
      </w:r>
      <w:proofErr w:type="spellEnd"/>
      <w:r>
        <w:rPr>
          <w:rFonts w:cs="TimesNewRomanPSMT"/>
        </w:rPr>
        <w:t xml:space="preserve"> </w:t>
      </w:r>
      <w:r w:rsidRPr="004C7364">
        <w:rPr>
          <w:rFonts w:cs="TimesNewRomanPSMT"/>
        </w:rPr>
        <w:t xml:space="preserve">σε χρόνο </w:t>
      </w:r>
      <w:r w:rsidRPr="004C7364">
        <w:rPr>
          <w:rFonts w:cs="TimesNewRomanPS-ItalicMT"/>
          <w:i/>
          <w:iCs/>
        </w:rPr>
        <w:t>t</w:t>
      </w:r>
      <w:r w:rsidRPr="004C7364">
        <w:rPr>
          <w:rFonts w:cs="TimesNewRomanPSMT"/>
        </w:rPr>
        <w:t xml:space="preserve">, περιγράφεται ικανοποιητικά από μια </w:t>
      </w:r>
      <w:r w:rsidRPr="004C7364">
        <w:rPr>
          <w:rFonts w:cs="TimesNewRomanPS-ItalicMT"/>
          <w:i/>
          <w:iCs/>
        </w:rPr>
        <w:t xml:space="preserve">στοχαστική διαδικασία </w:t>
      </w:r>
      <w:proofErr w:type="spellStart"/>
      <w:r w:rsidRPr="004C7364">
        <w:rPr>
          <w:rFonts w:cs="TimesNewRomanPS-ItalicMT"/>
          <w:i/>
          <w:iCs/>
        </w:rPr>
        <w:t>Poisson</w:t>
      </w:r>
      <w:proofErr w:type="spellEnd"/>
      <w:r w:rsidRPr="004C7364">
        <w:rPr>
          <w:rFonts w:cs="TimesNewRomanPSMT"/>
        </w:rPr>
        <w:t xml:space="preserve">. Αν ο μέσος αριθμός περιστατικών ανά έτος είναι 4, να υπολογισθεί η πιθανότητα, </w:t>
      </w:r>
      <w:r w:rsidRPr="004C7364">
        <w:rPr>
          <w:rFonts w:cs="TimesNewRomanPS-BoldMT"/>
          <w:b/>
          <w:bCs/>
        </w:rPr>
        <w:t xml:space="preserve">α) </w:t>
      </w:r>
      <w:r w:rsidRPr="004C7364">
        <w:rPr>
          <w:rFonts w:cs="TimesNewRomanPSMT"/>
        </w:rPr>
        <w:t xml:space="preserve">να συμβούν </w:t>
      </w:r>
      <w:r w:rsidRPr="004C7364">
        <w:rPr>
          <w:rFonts w:cs="TimesNewRomanPS-BoldMT"/>
          <w:b/>
          <w:bCs/>
        </w:rPr>
        <w:t xml:space="preserve">το πολύ </w:t>
      </w:r>
      <w:r w:rsidRPr="004C7364">
        <w:rPr>
          <w:rFonts w:cs="TimesNewRomanPSMT"/>
        </w:rPr>
        <w:t xml:space="preserve">2 περιστατικά σε ένα έτος, </w:t>
      </w:r>
      <w:r w:rsidRPr="004C7364">
        <w:rPr>
          <w:rFonts w:cs="TimesNewRomanPS-BoldMT"/>
          <w:b/>
          <w:bCs/>
        </w:rPr>
        <w:t xml:space="preserve">β) </w:t>
      </w:r>
      <w:r w:rsidRPr="004C7364">
        <w:rPr>
          <w:rFonts w:cs="TimesNewRomanPSMT"/>
        </w:rPr>
        <w:t xml:space="preserve">να συμβούν </w:t>
      </w:r>
      <w:r w:rsidRPr="004C7364">
        <w:rPr>
          <w:rFonts w:cs="TimesNewRomanPS-BoldMT"/>
          <w:b/>
          <w:bCs/>
        </w:rPr>
        <w:t xml:space="preserve">λιγότερα </w:t>
      </w:r>
      <w:r w:rsidRPr="004C7364">
        <w:rPr>
          <w:rFonts w:cs="TimesNewRomanPSMT"/>
        </w:rPr>
        <w:t xml:space="preserve">από 2 περιστατικά σε χρονικό διάστημα 18 μηνών </w:t>
      </w:r>
      <w:r w:rsidRPr="004C7364">
        <w:rPr>
          <w:rFonts w:cs="TimesNewRomanPS-BoldMT"/>
          <w:b/>
          <w:bCs/>
        </w:rPr>
        <w:t xml:space="preserve">γ) </w:t>
      </w:r>
      <w:r w:rsidRPr="004C7364">
        <w:rPr>
          <w:rFonts w:cs="TimesNewRomanPSMT"/>
        </w:rPr>
        <w:t xml:space="preserve">να συμβούν </w:t>
      </w:r>
      <w:r w:rsidRPr="004C7364">
        <w:rPr>
          <w:rFonts w:cs="TimesNewRomanPS-BoldMT"/>
          <w:b/>
          <w:bCs/>
        </w:rPr>
        <w:t xml:space="preserve">περισσότερα </w:t>
      </w:r>
      <w:r>
        <w:rPr>
          <w:rFonts w:cs="TimesNewRomanPSMT"/>
        </w:rPr>
        <w:t xml:space="preserve">από 20 </w:t>
      </w:r>
      <w:r w:rsidRPr="004C7364">
        <w:rPr>
          <w:rFonts w:cs="TimesNewRomanPSMT"/>
        </w:rPr>
        <w:t xml:space="preserve">περιστατικά σε χρονικό διάστημα </w:t>
      </w:r>
      <w:r>
        <w:rPr>
          <w:rFonts w:cs="TimesNewRomanPSMT"/>
        </w:rPr>
        <w:t>4</w:t>
      </w:r>
      <w:r w:rsidRPr="004C7364">
        <w:rPr>
          <w:rFonts w:cs="TimesNewRomanPSMT"/>
        </w:rPr>
        <w:t xml:space="preserve"> ετών.</w:t>
      </w:r>
    </w:p>
    <w:p w:rsidR="003620E3" w:rsidRDefault="003620E3" w:rsidP="003620E3">
      <w:pPr>
        <w:autoSpaceDE w:val="0"/>
        <w:autoSpaceDN w:val="0"/>
        <w:adjustRightInd w:val="0"/>
        <w:spacing w:after="0"/>
        <w:jc w:val="both"/>
        <w:rPr>
          <w:rFonts w:cs="TimesNewRomanPSMT"/>
        </w:rPr>
      </w:pPr>
    </w:p>
    <w:p w:rsidR="003620E3" w:rsidRPr="00395327" w:rsidRDefault="003620E3" w:rsidP="003620E3">
      <w:pPr>
        <w:jc w:val="both"/>
        <w:rPr>
          <w:bCs/>
        </w:rPr>
      </w:pPr>
      <w:r>
        <w:rPr>
          <w:b/>
          <w:bCs/>
        </w:rPr>
        <w:t xml:space="preserve">Δίνονται:  </w:t>
      </w:r>
      <w:r w:rsidRPr="00A10F95">
        <w:rPr>
          <w:bCs/>
          <w:lang w:val="en-US"/>
        </w:rPr>
        <w:t>e</w:t>
      </w:r>
      <w:r w:rsidRPr="00395327">
        <w:rPr>
          <w:bCs/>
          <w:vertAlign w:val="superscript"/>
        </w:rPr>
        <w:t xml:space="preserve">-1 </w:t>
      </w:r>
      <w:r w:rsidRPr="00395327">
        <w:rPr>
          <w:bCs/>
        </w:rPr>
        <w:t xml:space="preserve">= 0.368,      </w:t>
      </w:r>
      <w:r w:rsidRPr="00A10F95">
        <w:rPr>
          <w:bCs/>
          <w:lang w:val="en-US"/>
        </w:rPr>
        <w:t>e</w:t>
      </w:r>
      <w:r w:rsidRPr="00395327">
        <w:rPr>
          <w:bCs/>
          <w:vertAlign w:val="superscript"/>
        </w:rPr>
        <w:t>-2</w:t>
      </w:r>
      <w:r w:rsidRPr="00395327">
        <w:rPr>
          <w:bCs/>
        </w:rPr>
        <w:t xml:space="preserve"> = 0.135,      </w:t>
      </w:r>
      <w:r w:rsidRPr="00A10F95">
        <w:rPr>
          <w:bCs/>
          <w:lang w:val="en-US"/>
        </w:rPr>
        <w:t>e</w:t>
      </w:r>
      <w:r w:rsidRPr="00395327">
        <w:rPr>
          <w:bCs/>
          <w:vertAlign w:val="superscript"/>
        </w:rPr>
        <w:t>-3</w:t>
      </w:r>
      <w:r w:rsidRPr="00395327">
        <w:rPr>
          <w:bCs/>
        </w:rPr>
        <w:t xml:space="preserve"> = 0.05,     </w:t>
      </w:r>
      <w:r w:rsidRPr="00A10F95">
        <w:rPr>
          <w:bCs/>
          <w:lang w:val="en-US"/>
        </w:rPr>
        <w:t>e</w:t>
      </w:r>
      <w:r w:rsidRPr="00395327">
        <w:rPr>
          <w:bCs/>
          <w:vertAlign w:val="superscript"/>
        </w:rPr>
        <w:t>-4</w:t>
      </w:r>
      <w:r w:rsidRPr="00395327">
        <w:rPr>
          <w:bCs/>
        </w:rPr>
        <w:t xml:space="preserve"> = 0.018,     </w:t>
      </w:r>
      <w:r w:rsidRPr="00A10F95">
        <w:rPr>
          <w:bCs/>
          <w:lang w:val="en-US"/>
        </w:rPr>
        <w:t>e</w:t>
      </w:r>
      <w:r w:rsidRPr="00395327">
        <w:rPr>
          <w:bCs/>
          <w:vertAlign w:val="superscript"/>
        </w:rPr>
        <w:t>-5</w:t>
      </w:r>
      <w:r w:rsidRPr="00395327">
        <w:rPr>
          <w:bCs/>
        </w:rPr>
        <w:t xml:space="preserve"> = 0.007,     </w:t>
      </w:r>
      <w:r w:rsidRPr="003859E4">
        <w:rPr>
          <w:bCs/>
          <w:lang w:val="en-US"/>
        </w:rPr>
        <w:t>e</w:t>
      </w:r>
      <w:r w:rsidRPr="00395327">
        <w:rPr>
          <w:bCs/>
          <w:vertAlign w:val="superscript"/>
        </w:rPr>
        <w:t>-6</w:t>
      </w:r>
      <w:r w:rsidRPr="00395327">
        <w:rPr>
          <w:bCs/>
        </w:rPr>
        <w:t xml:space="preserve"> = 0.002,  </w:t>
      </w:r>
      <w:r w:rsidRPr="003859E4">
        <w:rPr>
          <w:bCs/>
          <w:lang w:val="en-US"/>
        </w:rPr>
        <w:t>e</w:t>
      </w:r>
      <w:r w:rsidRPr="00395327">
        <w:rPr>
          <w:bCs/>
          <w:vertAlign w:val="superscript"/>
        </w:rPr>
        <w:t>-7</w:t>
      </w:r>
      <w:r w:rsidRPr="00395327">
        <w:rPr>
          <w:bCs/>
        </w:rPr>
        <w:t xml:space="preserve"> = 0.0009,    </w:t>
      </w:r>
      <w:r w:rsidRPr="003859E4">
        <w:rPr>
          <w:bCs/>
          <w:lang w:val="en-US"/>
        </w:rPr>
        <w:t>e</w:t>
      </w:r>
      <w:r w:rsidRPr="00395327">
        <w:rPr>
          <w:bCs/>
          <w:vertAlign w:val="superscript"/>
        </w:rPr>
        <w:t>-8</w:t>
      </w:r>
      <w:r w:rsidRPr="00395327">
        <w:rPr>
          <w:bCs/>
        </w:rPr>
        <w:t xml:space="preserve"> = 0.0003,     </w:t>
      </w:r>
      <w:r w:rsidRPr="003859E4">
        <w:rPr>
          <w:bCs/>
          <w:lang w:val="en-US"/>
        </w:rPr>
        <w:t>e</w:t>
      </w:r>
      <w:r w:rsidRPr="00395327">
        <w:rPr>
          <w:bCs/>
          <w:vertAlign w:val="superscript"/>
        </w:rPr>
        <w:t>-9</w:t>
      </w:r>
      <w:r w:rsidRPr="00395327">
        <w:rPr>
          <w:bCs/>
        </w:rPr>
        <w:t xml:space="preserve"> = 0.0001,    </w:t>
      </w:r>
      <w:r w:rsidRPr="003859E4">
        <w:rPr>
          <w:bCs/>
          <w:lang w:val="en-US"/>
        </w:rPr>
        <w:t>e</w:t>
      </w:r>
      <w:r w:rsidRPr="00395327">
        <w:rPr>
          <w:bCs/>
          <w:vertAlign w:val="superscript"/>
        </w:rPr>
        <w:t>-10</w:t>
      </w:r>
      <w:r w:rsidRPr="00395327">
        <w:rPr>
          <w:bCs/>
        </w:rPr>
        <w:t xml:space="preserve"> = 0.00005.</w:t>
      </w:r>
    </w:p>
    <w:p w:rsidR="003620E3" w:rsidRPr="004C7364" w:rsidRDefault="003620E3" w:rsidP="003620E3">
      <w:pPr>
        <w:autoSpaceDE w:val="0"/>
        <w:autoSpaceDN w:val="0"/>
        <w:adjustRightInd w:val="0"/>
        <w:spacing w:after="0"/>
        <w:jc w:val="both"/>
        <w:rPr>
          <w:rFonts w:cs="TimesNewRomanPSMT"/>
        </w:rPr>
      </w:pPr>
    </w:p>
    <w:p w:rsidR="003620E3" w:rsidRDefault="003620E3" w:rsidP="003620E3">
      <w:pPr>
        <w:pStyle w:val="Title"/>
      </w:pPr>
    </w:p>
    <w:p w:rsidR="00010281" w:rsidRDefault="00010281"/>
    <w:sectPr w:rsidR="00010281" w:rsidSect="000102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3"/>
    <w:rsid w:val="00010281"/>
    <w:rsid w:val="003620E3"/>
    <w:rsid w:val="00CD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8F56C-FF47-4719-96B7-0A364D15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0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620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customStyle="1" w:styleId="TitleChar">
    <w:name w:val="Title Char"/>
    <w:basedOn w:val="DefaultParagraphFont"/>
    <w:link w:val="Title"/>
    <w:uiPriority w:val="99"/>
    <w:rsid w:val="003620E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Subtitle">
    <w:name w:val="Subtitle"/>
    <w:basedOn w:val="Normal"/>
    <w:link w:val="SubtitleChar"/>
    <w:uiPriority w:val="99"/>
    <w:qFormat/>
    <w:rsid w:val="003620E3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customStyle="1" w:styleId="SubtitleChar">
    <w:name w:val="Subtitle Char"/>
    <w:basedOn w:val="DefaultParagraphFont"/>
    <w:link w:val="Subtitle"/>
    <w:uiPriority w:val="99"/>
    <w:rsid w:val="003620E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Kyriaki</cp:lastModifiedBy>
  <cp:revision>2</cp:revision>
  <cp:lastPrinted>2017-12-12T08:43:00Z</cp:lastPrinted>
  <dcterms:created xsi:type="dcterms:W3CDTF">2021-12-03T06:44:00Z</dcterms:created>
  <dcterms:modified xsi:type="dcterms:W3CDTF">2021-12-03T06:44:00Z</dcterms:modified>
</cp:coreProperties>
</file>