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892AB" w14:textId="77777777" w:rsidR="00B75BB8" w:rsidRDefault="00B75BB8">
      <w:pPr>
        <w:pStyle w:val="1"/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B75BB8" w14:paraId="0A8DF30D" w14:textId="77777777">
        <w:tc>
          <w:tcPr>
            <w:tcW w:w="8522" w:type="dxa"/>
            <w:tcBorders>
              <w:bottom w:val="single" w:sz="4" w:space="0" w:color="000000"/>
            </w:tcBorders>
          </w:tcPr>
          <w:p w14:paraId="3DFF69E3" w14:textId="77777777" w:rsidR="00B75BB8" w:rsidRDefault="007F249F">
            <w:pPr>
              <w:pStyle w:val="1"/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Σύντομη περιγραφή της πτυχιακής εργασίας</w:t>
            </w:r>
          </w:p>
        </w:tc>
      </w:tr>
      <w:tr w:rsidR="00B75BB8" w14:paraId="7CFFC50D" w14:textId="77777777">
        <w:tc>
          <w:tcPr>
            <w:tcW w:w="8522" w:type="dxa"/>
            <w:shd w:val="clear" w:color="auto" w:fill="666666"/>
          </w:tcPr>
          <w:p w14:paraId="02B1E08A" w14:textId="77777777" w:rsidR="00B75BB8" w:rsidRDefault="00B75BB8">
            <w:pPr>
              <w:pStyle w:val="1"/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  <w:tr w:rsidR="00B75BB8" w14:paraId="1C9EDA69" w14:textId="77777777">
        <w:tc>
          <w:tcPr>
            <w:tcW w:w="8522" w:type="dxa"/>
          </w:tcPr>
          <w:p w14:paraId="7B378965" w14:textId="77777777" w:rsidR="00B75BB8" w:rsidRDefault="007F249F">
            <w:pPr>
              <w:pStyle w:val="1"/>
              <w:spacing w:after="20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Ονοματεπώνυμο / ΑΜ</w:t>
            </w:r>
          </w:p>
        </w:tc>
      </w:tr>
      <w:tr w:rsidR="00B75BB8" w14:paraId="04CFB078" w14:textId="77777777">
        <w:tc>
          <w:tcPr>
            <w:tcW w:w="8522" w:type="dxa"/>
          </w:tcPr>
          <w:p w14:paraId="13281C3B" w14:textId="7E28030C" w:rsidR="00E54530" w:rsidRDefault="00E54530">
            <w:pPr>
              <w:pStyle w:val="1"/>
              <w:spacing w:after="20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ΑΠΟΣΤΟΛΙΔΗ ΧΡΥΣΟΥΛΑ/ 16023</w:t>
            </w:r>
            <w:bookmarkStart w:id="0" w:name="_GoBack"/>
            <w:bookmarkEnd w:id="0"/>
          </w:p>
        </w:tc>
      </w:tr>
      <w:tr w:rsidR="00B75BB8" w14:paraId="70249C37" w14:textId="77777777">
        <w:tc>
          <w:tcPr>
            <w:tcW w:w="8522" w:type="dxa"/>
          </w:tcPr>
          <w:p w14:paraId="2EB1A571" w14:textId="77777777" w:rsidR="00B75BB8" w:rsidRDefault="007F249F">
            <w:pPr>
              <w:pStyle w:val="1"/>
              <w:spacing w:after="20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Ημερομηνία</w:t>
            </w:r>
          </w:p>
        </w:tc>
      </w:tr>
      <w:tr w:rsidR="00B75BB8" w14:paraId="10180857" w14:textId="77777777">
        <w:tc>
          <w:tcPr>
            <w:tcW w:w="8522" w:type="dxa"/>
          </w:tcPr>
          <w:p w14:paraId="4789E4B6" w14:textId="77777777" w:rsidR="00B75BB8" w:rsidRDefault="007F249F">
            <w:pPr>
              <w:pStyle w:val="1"/>
              <w:spacing w:after="20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18/04/2018</w:t>
            </w:r>
          </w:p>
        </w:tc>
      </w:tr>
      <w:tr w:rsidR="00B75BB8" w14:paraId="1F5A7B80" w14:textId="77777777">
        <w:tc>
          <w:tcPr>
            <w:tcW w:w="8522" w:type="dxa"/>
          </w:tcPr>
          <w:p w14:paraId="0504AC81" w14:textId="77777777" w:rsidR="00B75BB8" w:rsidRDefault="007F249F">
            <w:pPr>
              <w:pStyle w:val="1"/>
              <w:spacing w:after="20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Τίτλος</w:t>
            </w:r>
          </w:p>
        </w:tc>
      </w:tr>
      <w:tr w:rsidR="00B75BB8" w14:paraId="630EE115" w14:textId="77777777">
        <w:trPr>
          <w:trHeight w:val="620"/>
        </w:trPr>
        <w:tc>
          <w:tcPr>
            <w:tcW w:w="8522" w:type="dxa"/>
          </w:tcPr>
          <w:p w14:paraId="6D409E89" w14:textId="15AA205E" w:rsidR="00B75BB8" w:rsidRDefault="007F249F" w:rsidP="00E54530">
            <w:pPr>
              <w:pStyle w:val="1"/>
              <w:spacing w:after="200" w:line="276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ΣΤΡΑΤΗΓΙΚΗ </w:t>
            </w:r>
            <w:r w:rsidR="00E54530">
              <w:rPr>
                <w:b/>
                <w:sz w:val="22"/>
                <w:szCs w:val="22"/>
              </w:rPr>
              <w:t>ΔΙΑΠΡΟΣΩΠΙΚΗ</w:t>
            </w:r>
            <w:r w:rsidR="00873769">
              <w:rPr>
                <w:b/>
                <w:sz w:val="22"/>
                <w:szCs w:val="22"/>
              </w:rPr>
              <w:t>Σ</w:t>
            </w:r>
            <w:r>
              <w:rPr>
                <w:b/>
                <w:sz w:val="22"/>
                <w:szCs w:val="22"/>
              </w:rPr>
              <w:t xml:space="preserve"> ΕΠΙΚΟΙΝΩΝΙΑ</w:t>
            </w:r>
            <w:r w:rsidR="00873769">
              <w:rPr>
                <w:b/>
                <w:sz w:val="22"/>
                <w:szCs w:val="22"/>
              </w:rPr>
              <w:t>Σ</w:t>
            </w:r>
          </w:p>
        </w:tc>
      </w:tr>
      <w:tr w:rsidR="00B75BB8" w14:paraId="74B8F50D" w14:textId="77777777">
        <w:tc>
          <w:tcPr>
            <w:tcW w:w="8522" w:type="dxa"/>
          </w:tcPr>
          <w:p w14:paraId="7E4B5412" w14:textId="7E5C6B12" w:rsidR="00CE45DB" w:rsidRDefault="007F249F" w:rsidP="00CE45D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imes" w:hAnsi="Times" w:cs="Times"/>
                <w:color w:val="auto"/>
                <w:sz w:val="24"/>
                <w:szCs w:val="24"/>
                <w:lang w:val="en-US"/>
              </w:rPr>
            </w:pPr>
            <w:r>
              <w:rPr>
                <w:sz w:val="22"/>
                <w:szCs w:val="22"/>
              </w:rPr>
              <w:t>Περίληψη</w:t>
            </w:r>
            <w:r w:rsidR="00CE45DB">
              <w:rPr>
                <w:rFonts w:ascii="Times" w:hAnsi="Times" w:cs="Times"/>
                <w:color w:val="auto"/>
                <w:sz w:val="24"/>
                <w:szCs w:val="24"/>
                <w:lang w:val="en-US"/>
              </w:rPr>
              <w:t xml:space="preserve">  </w:t>
            </w:r>
          </w:p>
          <w:p w14:paraId="7826FE59" w14:textId="3C548E72" w:rsidR="00CE45DB" w:rsidRDefault="00CE45DB" w:rsidP="00CE45D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imes" w:hAnsi="Times" w:cs="Times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" w:hAnsi="Times" w:cs="Times"/>
                <w:color w:val="auto"/>
                <w:sz w:val="24"/>
                <w:szCs w:val="24"/>
                <w:lang w:val="en-US"/>
              </w:rPr>
              <w:t xml:space="preserve"> </w:t>
            </w:r>
          </w:p>
          <w:p w14:paraId="4CDDD173" w14:textId="77777777" w:rsidR="00B75BB8" w:rsidRDefault="00B75BB8">
            <w:pPr>
              <w:pStyle w:val="1"/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  <w:tr w:rsidR="00B75BB8" w14:paraId="631DE3EE" w14:textId="77777777">
        <w:trPr>
          <w:trHeight w:val="1080"/>
        </w:trPr>
        <w:tc>
          <w:tcPr>
            <w:tcW w:w="8522" w:type="dxa"/>
          </w:tcPr>
          <w:p w14:paraId="241F62CC" w14:textId="0EDF52A5" w:rsidR="00B75BB8" w:rsidRPr="002C1064" w:rsidRDefault="00E54530" w:rsidP="00127129">
            <w:pPr>
              <w:pStyle w:val="1"/>
              <w:spacing w:after="200" w:line="276" w:lineRule="auto"/>
              <w:jc w:val="both"/>
              <w:rPr>
                <w:rFonts w:ascii="Times" w:eastAsia="Times New Roman" w:hAnsi="Times" w:cs="Times New Roman"/>
                <w:color w:val="auto"/>
              </w:rPr>
            </w:pPr>
            <w:r w:rsidRPr="00E54530">
              <w:rPr>
                <w:sz w:val="22"/>
                <w:szCs w:val="22"/>
              </w:rPr>
              <w:t xml:space="preserve">Οι διαπροσωπικές και επικοινωνιακές δεξιότητες για τους εργαζόμενος σε οργανισμούς πληροφόρησης είναι ένα σύνολο ικανοτήτων που κάνουν τους υπαλλήλους πιο αποτελεσματικούς. Οι </w:t>
            </w:r>
            <w:proofErr w:type="spellStart"/>
            <w:r w:rsidRPr="00E54530">
              <w:rPr>
                <w:sz w:val="22"/>
                <w:szCs w:val="22"/>
              </w:rPr>
              <w:t>ανθρωπο</w:t>
            </w:r>
            <w:proofErr w:type="spellEnd"/>
            <w:r w:rsidRPr="00E54530">
              <w:rPr>
                <w:sz w:val="22"/>
                <w:szCs w:val="22"/>
              </w:rPr>
              <w:t>-κεντρικές δεξιότητες στοχεύουν στη βελτίωση όλων των πτυχών των προσωπικών αλληλεπιδράσεων, της ανάπτυξης σχέσεων και της επικοινωνίας. Σύγχρονες έρευνες δείχνουν ότι οι δεξιότητες αυτές είναι τόσο</w:t>
            </w:r>
            <w:r w:rsidRPr="00127129">
              <w:rPr>
                <w:sz w:val="22"/>
                <w:szCs w:val="22"/>
              </w:rPr>
              <w:t xml:space="preserve"> σημαντικές για την επιτυχία όσο και οι τεχνικές δυνατότητες. Η παρούσα πτυχιακή θα μελετήσει τον αντίκτυπο που έχουν οι διαπροσωπικές και επικοινωνιακές δεξιότητες για την αποτελεσματικότητα, στην εργασία και την καριέρα του εργαζόμενου.</w:t>
            </w:r>
            <w:r w:rsidRPr="002C1064">
              <w:rPr>
                <w:rFonts w:ascii="Times" w:eastAsia="Times New Roman" w:hAnsi="Times" w:cs="Times New Roman"/>
                <w:color w:val="auto"/>
              </w:rPr>
              <w:t xml:space="preserve"> </w:t>
            </w:r>
          </w:p>
        </w:tc>
      </w:tr>
      <w:tr w:rsidR="00B75BB8" w14:paraId="2C5BF54B" w14:textId="77777777">
        <w:tc>
          <w:tcPr>
            <w:tcW w:w="8522" w:type="dxa"/>
          </w:tcPr>
          <w:p w14:paraId="0CBE07AB" w14:textId="77777777" w:rsidR="00B75BB8" w:rsidRDefault="007F249F">
            <w:pPr>
              <w:pStyle w:val="1"/>
              <w:spacing w:after="20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Στόχοι</w:t>
            </w:r>
          </w:p>
          <w:p w14:paraId="7138D54E" w14:textId="612436A8" w:rsidR="00C22D9C" w:rsidRDefault="00127129" w:rsidP="005251E1">
            <w:pPr>
              <w:pStyle w:val="1"/>
              <w:spacing w:after="20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Στόχος της παρούσας πτυχιακής είναι να διερευνήσει την διαπροσωπική επικοινωνία σε οργανισμούς πληροφόρησης. Με την ακολουθούμενη ερευνητική μεθοδολογία θα επιχειρηθεί να εξεταστεί η</w:t>
            </w:r>
            <w:r w:rsidR="005251E1">
              <w:rPr>
                <w:sz w:val="22"/>
                <w:szCs w:val="22"/>
              </w:rPr>
              <w:t xml:space="preserve"> επικοινωνιακή</w:t>
            </w:r>
            <w:r>
              <w:rPr>
                <w:sz w:val="22"/>
                <w:szCs w:val="22"/>
              </w:rPr>
              <w:t xml:space="preserve"> ικανότητα ανώτερων</w:t>
            </w:r>
            <w:r w:rsidR="005251E1">
              <w:rPr>
                <w:sz w:val="22"/>
                <w:szCs w:val="22"/>
              </w:rPr>
              <w:t xml:space="preserve"> και</w:t>
            </w:r>
            <w:r>
              <w:rPr>
                <w:sz w:val="22"/>
                <w:szCs w:val="22"/>
              </w:rPr>
              <w:t xml:space="preserve"> μεσαίων </w:t>
            </w:r>
            <w:r w:rsidR="005251E1">
              <w:rPr>
                <w:sz w:val="22"/>
                <w:szCs w:val="22"/>
              </w:rPr>
              <w:t xml:space="preserve">στελεχών προκειμένου να υπάρξει η </w:t>
            </w:r>
            <w:r>
              <w:rPr>
                <w:sz w:val="22"/>
                <w:szCs w:val="22"/>
              </w:rPr>
              <w:t>επίτευξη εσωτερικών και εξωτερικών επιχειρηματικών στόχων. Απώτερ</w:t>
            </w:r>
            <w:r w:rsidR="005251E1">
              <w:rPr>
                <w:sz w:val="22"/>
                <w:szCs w:val="22"/>
              </w:rPr>
              <w:t>ος σκοπός είναι να διερευνηθεί ο</w:t>
            </w:r>
            <w:r>
              <w:rPr>
                <w:sz w:val="22"/>
                <w:szCs w:val="22"/>
              </w:rPr>
              <w:t xml:space="preserve"> βαθμός </w:t>
            </w:r>
            <w:r w:rsidR="005251E1">
              <w:rPr>
                <w:sz w:val="22"/>
                <w:szCs w:val="22"/>
              </w:rPr>
              <w:t xml:space="preserve">διαχείρισης συναισθημάτων, η αύξηση της αντιληπτικής ικανότητας, ενεργητικής ακρόασης κα στις επιχειρηματικές συναλλαγές. </w:t>
            </w:r>
          </w:p>
        </w:tc>
      </w:tr>
      <w:tr w:rsidR="00B75BB8" w14:paraId="055B0331" w14:textId="77777777">
        <w:tc>
          <w:tcPr>
            <w:tcW w:w="8522" w:type="dxa"/>
          </w:tcPr>
          <w:p w14:paraId="5EDDFDB5" w14:textId="77777777" w:rsidR="00B75BB8" w:rsidRDefault="007F249F">
            <w:pPr>
              <w:pStyle w:val="1"/>
              <w:spacing w:after="20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Μεθοδολογία (πχ. ερωτηματολόγια, χρήση τάδε λογισμικού, ανάπτυξη βάσης δεδομένων κλπ) </w:t>
            </w:r>
          </w:p>
        </w:tc>
      </w:tr>
      <w:tr w:rsidR="00B75BB8" w14:paraId="0C889CA9" w14:textId="77777777">
        <w:trPr>
          <w:trHeight w:val="1120"/>
        </w:trPr>
        <w:tc>
          <w:tcPr>
            <w:tcW w:w="8522" w:type="dxa"/>
          </w:tcPr>
          <w:p w14:paraId="0F961AA3" w14:textId="27BD2022" w:rsidR="00B75BB8" w:rsidRDefault="007F249F" w:rsidP="00AE5790">
            <w:pPr>
              <w:pStyle w:val="1"/>
              <w:spacing w:after="20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Η μεθοδολογία ερευνητικής πραγματοποίησης της πτυχιακής θα ακολουθήσει τα εξής τρία βήμ</w:t>
            </w:r>
            <w:r w:rsidR="00AE5790">
              <w:rPr>
                <w:sz w:val="22"/>
                <w:szCs w:val="22"/>
              </w:rPr>
              <w:t xml:space="preserve">ατα. Εκτενής βιβλιογραφική και σύγχρονη διεθνής </w:t>
            </w:r>
            <w:proofErr w:type="spellStart"/>
            <w:r w:rsidR="00AE5790">
              <w:rPr>
                <w:sz w:val="22"/>
                <w:szCs w:val="22"/>
              </w:rPr>
              <w:t>αρθρογραφική</w:t>
            </w:r>
            <w:proofErr w:type="spellEnd"/>
            <w:r w:rsidR="00AE5790">
              <w:rPr>
                <w:sz w:val="22"/>
                <w:szCs w:val="22"/>
              </w:rPr>
              <w:t xml:space="preserve"> ανασκόπηση στη σ</w:t>
            </w:r>
            <w:r w:rsidR="00E54530">
              <w:rPr>
                <w:sz w:val="22"/>
                <w:szCs w:val="22"/>
              </w:rPr>
              <w:t>υνέχεια θα πραγματοποιηθεί ποσο</w:t>
            </w:r>
            <w:r w:rsidR="00AE5790">
              <w:rPr>
                <w:sz w:val="22"/>
                <w:szCs w:val="22"/>
              </w:rPr>
              <w:t xml:space="preserve">τική έρευνα </w:t>
            </w:r>
            <w:r>
              <w:rPr>
                <w:sz w:val="22"/>
                <w:szCs w:val="22"/>
              </w:rPr>
              <w:t xml:space="preserve">με ποσοτικά ερωτηματολόγια της </w:t>
            </w:r>
            <w:proofErr w:type="spellStart"/>
            <w:r w:rsidR="00AE5790">
              <w:rPr>
                <w:sz w:val="22"/>
                <w:szCs w:val="22"/>
              </w:rPr>
              <w:t>πενταβάθμιας</w:t>
            </w:r>
            <w:proofErr w:type="spellEnd"/>
            <w:r w:rsidR="00AE579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κλίμακας </w:t>
            </w:r>
            <w:proofErr w:type="spellStart"/>
            <w:r>
              <w:rPr>
                <w:sz w:val="22"/>
                <w:szCs w:val="22"/>
              </w:rPr>
              <w:t>Likert</w:t>
            </w:r>
            <w:proofErr w:type="spellEnd"/>
            <w:r>
              <w:rPr>
                <w:sz w:val="22"/>
                <w:szCs w:val="22"/>
              </w:rPr>
              <w:t xml:space="preserve">. Στη συνέχεια θα χρησιμοποιηθεί κατάλληλο λογισμικό για τη στατιστική επεξεργασία των ευρημάτων. </w:t>
            </w:r>
            <w:r w:rsidR="00AE5790">
              <w:rPr>
                <w:sz w:val="22"/>
                <w:szCs w:val="22"/>
              </w:rPr>
              <w:t xml:space="preserve">Ο ερευνητικός σχεδιασμός θα συμπεριλάβει </w:t>
            </w:r>
            <w:r>
              <w:rPr>
                <w:sz w:val="22"/>
                <w:szCs w:val="22"/>
              </w:rPr>
              <w:t xml:space="preserve">και ποιοτική έρευνα </w:t>
            </w:r>
            <w:r w:rsidR="00AE5790">
              <w:rPr>
                <w:sz w:val="22"/>
                <w:szCs w:val="22"/>
              </w:rPr>
              <w:t xml:space="preserve">πραγματοποιούμενη </w:t>
            </w:r>
            <w:r>
              <w:rPr>
                <w:sz w:val="22"/>
                <w:szCs w:val="22"/>
              </w:rPr>
              <w:t xml:space="preserve">με </w:t>
            </w:r>
            <w:proofErr w:type="spellStart"/>
            <w:r>
              <w:rPr>
                <w:sz w:val="22"/>
                <w:szCs w:val="22"/>
              </w:rPr>
              <w:t>ημιδομημένη</w:t>
            </w:r>
            <w:proofErr w:type="spellEnd"/>
            <w:r>
              <w:rPr>
                <w:sz w:val="22"/>
                <w:szCs w:val="22"/>
              </w:rPr>
              <w:t xml:space="preserve"> συνέντευξη προκειμένου να καταγραφούν οι απόψεις στελεχών που βαρύνονται με το ρόλο της λήψης αποφάσεων </w:t>
            </w:r>
            <w:r>
              <w:rPr>
                <w:sz w:val="22"/>
                <w:szCs w:val="22"/>
              </w:rPr>
              <w:lastRenderedPageBreak/>
              <w:t>(</w:t>
            </w:r>
            <w:proofErr w:type="spellStart"/>
            <w:r>
              <w:rPr>
                <w:sz w:val="22"/>
                <w:szCs w:val="22"/>
              </w:rPr>
              <w:t>decision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makers</w:t>
            </w:r>
            <w:proofErr w:type="spellEnd"/>
            <w:r>
              <w:rPr>
                <w:sz w:val="22"/>
                <w:szCs w:val="22"/>
              </w:rPr>
              <w:t>).</w:t>
            </w:r>
          </w:p>
        </w:tc>
      </w:tr>
      <w:tr w:rsidR="00B75BB8" w14:paraId="33006A4E" w14:textId="77777777">
        <w:trPr>
          <w:trHeight w:val="340"/>
        </w:trPr>
        <w:tc>
          <w:tcPr>
            <w:tcW w:w="8522" w:type="dxa"/>
          </w:tcPr>
          <w:p w14:paraId="6FEEB0C5" w14:textId="77777777" w:rsidR="00B75BB8" w:rsidRDefault="007F249F">
            <w:pPr>
              <w:pStyle w:val="1"/>
              <w:spacing w:after="20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Ενδεικτική βιβλιογραφία</w:t>
            </w:r>
          </w:p>
        </w:tc>
      </w:tr>
      <w:tr w:rsidR="00B75BB8" w:rsidRPr="002C1064" w14:paraId="37CA1019" w14:textId="77777777">
        <w:trPr>
          <w:trHeight w:val="1220"/>
        </w:trPr>
        <w:tc>
          <w:tcPr>
            <w:tcW w:w="8522" w:type="dxa"/>
          </w:tcPr>
          <w:p w14:paraId="1FD7CF45" w14:textId="77777777" w:rsidR="00AF6916" w:rsidRPr="002C1064" w:rsidRDefault="002C1064" w:rsidP="00AF6916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jc w:val="both"/>
              <w:rPr>
                <w:sz w:val="22"/>
                <w:szCs w:val="22"/>
                <w:lang w:val="en-US"/>
              </w:rPr>
            </w:pPr>
            <w:hyperlink r:id="rId4" w:history="1">
              <w:r w:rsidR="00AF6916" w:rsidRPr="002C1064">
                <w:rPr>
                  <w:sz w:val="22"/>
                  <w:szCs w:val="22"/>
                  <w:lang w:val="en-US"/>
                </w:rPr>
                <w:br/>
                <w:t>Saodah Wok</w:t>
              </w:r>
            </w:hyperlink>
            <w:r w:rsidR="00AF6916" w:rsidRPr="002C1064">
              <w:rPr>
                <w:sz w:val="22"/>
                <w:szCs w:val="22"/>
                <w:lang w:val="en-US"/>
              </w:rPr>
              <w:t>, </w:t>
            </w:r>
            <w:hyperlink r:id="rId5" w:history="1">
              <w:r w:rsidR="00AF6916" w:rsidRPr="002C1064">
                <w:rPr>
                  <w:sz w:val="22"/>
                  <w:szCs w:val="22"/>
                  <w:lang w:val="en-US"/>
                </w:rPr>
                <w:t>Junaidah Hashim</w:t>
              </w:r>
            </w:hyperlink>
            <w:r w:rsidR="00AF6916" w:rsidRPr="002C1064">
              <w:rPr>
                <w:sz w:val="22"/>
                <w:szCs w:val="22"/>
                <w:lang w:val="en-US"/>
              </w:rPr>
              <w:t>, (2013) "Communicating and sharing working relationships with older employees", Journal of Communication Management, Vol. 17 Issue: 2, pp.100-121, </w:t>
            </w:r>
            <w:hyperlink r:id="rId6" w:history="1">
              <w:r w:rsidR="00AF6916" w:rsidRPr="002C1064">
                <w:rPr>
                  <w:sz w:val="22"/>
                  <w:szCs w:val="22"/>
                  <w:lang w:val="en-US"/>
                </w:rPr>
                <w:t>https://doi.org/10.1108/13632541311318729</w:t>
              </w:r>
            </w:hyperlink>
          </w:p>
          <w:p w14:paraId="5F82A3FF" w14:textId="35373B4C" w:rsidR="00AF6916" w:rsidRPr="002C1064" w:rsidRDefault="002C1064" w:rsidP="00AF6916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jc w:val="both"/>
              <w:rPr>
                <w:sz w:val="22"/>
                <w:szCs w:val="22"/>
                <w:lang w:val="en-US"/>
              </w:rPr>
            </w:pPr>
            <w:hyperlink r:id="rId7" w:history="1">
              <w:r w:rsidR="00AF6916" w:rsidRPr="002C1064">
                <w:rPr>
                  <w:sz w:val="22"/>
                  <w:szCs w:val="22"/>
                  <w:lang w:val="en-US"/>
                </w:rPr>
                <w:br/>
                <w:t>Peggy Simcic Brønn</w:t>
              </w:r>
            </w:hyperlink>
            <w:r w:rsidR="00AF6916" w:rsidRPr="002C1064">
              <w:rPr>
                <w:sz w:val="22"/>
                <w:szCs w:val="22"/>
                <w:lang w:val="en-US"/>
              </w:rPr>
              <w:t>, (2014) "How others see us: leaders’ perceptions of communication and communication managers", Journal of Communication Management, Vol. 18 Issue: 1, pp.58-79, </w:t>
            </w:r>
            <w:hyperlink r:id="rId8" w:history="1">
              <w:r w:rsidR="00AF6916" w:rsidRPr="002C1064">
                <w:rPr>
                  <w:sz w:val="22"/>
                  <w:szCs w:val="22"/>
                  <w:lang w:val="en-US"/>
                </w:rPr>
                <w:t>https://doi.org/10.1108/JCOM-03-2013-0028</w:t>
              </w:r>
            </w:hyperlink>
          </w:p>
          <w:p w14:paraId="11017630" w14:textId="0318F34A" w:rsidR="00AF6916" w:rsidRPr="002C1064" w:rsidRDefault="002C1064" w:rsidP="00AF6916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jc w:val="both"/>
              <w:rPr>
                <w:sz w:val="22"/>
                <w:szCs w:val="22"/>
                <w:lang w:val="en-US"/>
              </w:rPr>
            </w:pPr>
            <w:hyperlink r:id="rId9" w:history="1">
              <w:r w:rsidR="00AF6916" w:rsidRPr="002C1064">
                <w:rPr>
                  <w:sz w:val="22"/>
                  <w:szCs w:val="22"/>
                  <w:lang w:val="en-US"/>
                </w:rPr>
                <w:br/>
                <w:t>Ping Lin , </w:t>
              </w:r>
            </w:hyperlink>
            <w:r w:rsidR="00AF6916" w:rsidRPr="002C1064">
              <w:rPr>
                <w:sz w:val="22"/>
                <w:szCs w:val="22"/>
                <w:lang w:val="en-US"/>
              </w:rPr>
              <w:t>, </w:t>
            </w:r>
            <w:hyperlink r:id="rId10" w:history="1">
              <w:r w:rsidR="00AF6916" w:rsidRPr="002C1064">
                <w:rPr>
                  <w:sz w:val="22"/>
                  <w:szCs w:val="22"/>
                  <w:lang w:val="en-US"/>
                </w:rPr>
                <w:t>Sudha Krishnan , </w:t>
              </w:r>
            </w:hyperlink>
            <w:r w:rsidR="00AF6916" w:rsidRPr="002C1064">
              <w:rPr>
                <w:sz w:val="22"/>
                <w:szCs w:val="22"/>
                <w:lang w:val="en-US"/>
              </w:rPr>
              <w:t>, </w:t>
            </w:r>
            <w:hyperlink r:id="rId11" w:history="1">
              <w:r w:rsidR="00AF6916" w:rsidRPr="002C1064">
                <w:rPr>
                  <w:sz w:val="22"/>
                  <w:szCs w:val="22"/>
                  <w:lang w:val="en-US"/>
                </w:rPr>
                <w:t>Debra Grace , </w:t>
              </w:r>
            </w:hyperlink>
            <w:r w:rsidR="00AF6916" w:rsidRPr="002C1064">
              <w:rPr>
                <w:sz w:val="22"/>
                <w:szCs w:val="22"/>
                <w:lang w:val="en-US"/>
              </w:rPr>
              <w:t xml:space="preserve">(2013), The Effect of Experience on Perceived Communication Skills: Comparisons between Accounting Professionals and Students, </w:t>
            </w:r>
            <w:proofErr w:type="spellStart"/>
            <w:r w:rsidR="00AF6916" w:rsidRPr="002C1064">
              <w:rPr>
                <w:sz w:val="22"/>
                <w:szCs w:val="22"/>
                <w:lang w:val="en-US"/>
              </w:rPr>
              <w:t>inDorothy</w:t>
            </w:r>
            <w:proofErr w:type="spellEnd"/>
            <w:r w:rsidR="00AF6916" w:rsidRPr="002C1064">
              <w:rPr>
                <w:sz w:val="22"/>
                <w:szCs w:val="22"/>
                <w:lang w:val="en-US"/>
              </w:rPr>
              <w:t xml:space="preserve"> Feldmann , Timothy J. Rupert (ed.) Advances in Accounting Education: Teaching and Curriculum Innovations (Advances in Accounting Education, Volume 14) Emerald Group Publishing Limited, pp.131 – 152</w:t>
            </w:r>
          </w:p>
          <w:p w14:paraId="698C66C6" w14:textId="77777777" w:rsidR="00AF6916" w:rsidRPr="002C1064" w:rsidRDefault="002C1064" w:rsidP="00AF6916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jc w:val="both"/>
              <w:rPr>
                <w:sz w:val="22"/>
                <w:szCs w:val="22"/>
                <w:lang w:val="en-US"/>
              </w:rPr>
            </w:pPr>
            <w:hyperlink r:id="rId12" w:history="1">
              <w:r w:rsidR="00AF6916" w:rsidRPr="002C1064">
                <w:rPr>
                  <w:sz w:val="22"/>
                  <w:szCs w:val="22"/>
                  <w:lang w:val="en-US"/>
                </w:rPr>
                <w:br/>
                <w:t>Ansgar Zerfass</w:t>
              </w:r>
            </w:hyperlink>
            <w:r w:rsidR="00AF6916" w:rsidRPr="002C1064">
              <w:rPr>
                <w:sz w:val="22"/>
                <w:szCs w:val="22"/>
                <w:lang w:val="en-US"/>
              </w:rPr>
              <w:t>, </w:t>
            </w:r>
            <w:hyperlink r:id="rId13" w:history="1">
              <w:r w:rsidR="00AF6916" w:rsidRPr="002C1064">
                <w:rPr>
                  <w:sz w:val="22"/>
                  <w:szCs w:val="22"/>
                  <w:lang w:val="en-US"/>
                </w:rPr>
                <w:t>Muschda Sherzada</w:t>
              </w:r>
            </w:hyperlink>
            <w:r w:rsidR="00AF6916" w:rsidRPr="002C1064">
              <w:rPr>
                <w:sz w:val="22"/>
                <w:szCs w:val="22"/>
                <w:lang w:val="en-US"/>
              </w:rPr>
              <w:t>, (2015) "Corporate communications from the CEO’s perspective: How top executives conceptualize and value strategic communication", Corporate Communications: An International Journal, Vol. 20 Issue: 3, pp.291-309, </w:t>
            </w:r>
            <w:hyperlink r:id="rId14" w:history="1">
              <w:r w:rsidR="00AF6916" w:rsidRPr="002C1064">
                <w:rPr>
                  <w:sz w:val="22"/>
                  <w:szCs w:val="22"/>
                  <w:lang w:val="en-US"/>
                </w:rPr>
                <w:t>https://doi.org/10.1108/CCIJ-04-2014-0020</w:t>
              </w:r>
            </w:hyperlink>
          </w:p>
          <w:p w14:paraId="369CC8A4" w14:textId="68BE81E6" w:rsidR="00B75BB8" w:rsidRPr="002C1064" w:rsidRDefault="002C1064" w:rsidP="00AD4210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jc w:val="both"/>
              <w:rPr>
                <w:sz w:val="22"/>
                <w:szCs w:val="22"/>
                <w:lang w:val="en-US"/>
              </w:rPr>
            </w:pPr>
            <w:hyperlink r:id="rId15" w:history="1">
              <w:r w:rsidR="00AD4210" w:rsidRPr="002C1064">
                <w:rPr>
                  <w:sz w:val="22"/>
                  <w:szCs w:val="22"/>
                  <w:lang w:val="en-US"/>
                </w:rPr>
                <w:br/>
                <w:t>Eerika Hedman</w:t>
              </w:r>
            </w:hyperlink>
            <w:r w:rsidR="00AD4210" w:rsidRPr="002C1064">
              <w:rPr>
                <w:sz w:val="22"/>
                <w:szCs w:val="22"/>
                <w:lang w:val="en-US"/>
              </w:rPr>
              <w:t>, </w:t>
            </w:r>
            <w:hyperlink r:id="rId16" w:history="1">
              <w:r w:rsidR="00AD4210" w:rsidRPr="002C1064">
                <w:rPr>
                  <w:sz w:val="22"/>
                  <w:szCs w:val="22"/>
                  <w:lang w:val="en-US"/>
                </w:rPr>
                <w:t>Maarit Valo</w:t>
              </w:r>
            </w:hyperlink>
            <w:r w:rsidR="00AD4210" w:rsidRPr="002C1064">
              <w:rPr>
                <w:sz w:val="22"/>
                <w:szCs w:val="22"/>
                <w:lang w:val="en-US"/>
              </w:rPr>
              <w:t>, (2015) "Communication challenges facing management teams", Leadership &amp; Organization Development Journal, Vol. 36 Issue: 8, pp.1012-1024, </w:t>
            </w:r>
            <w:hyperlink r:id="rId17" w:history="1">
              <w:r w:rsidR="00AD4210" w:rsidRPr="002C1064">
                <w:rPr>
                  <w:sz w:val="22"/>
                  <w:szCs w:val="22"/>
                  <w:lang w:val="en-US"/>
                </w:rPr>
                <w:t>https://doi.org/10.1108/LODJ-04-2014-0074</w:t>
              </w:r>
            </w:hyperlink>
          </w:p>
        </w:tc>
      </w:tr>
    </w:tbl>
    <w:p w14:paraId="5DD864B9" w14:textId="77777777" w:rsidR="00B75BB8" w:rsidRPr="002C1064" w:rsidRDefault="00B75BB8">
      <w:pPr>
        <w:pStyle w:val="1"/>
        <w:spacing w:after="200" w:line="276" w:lineRule="auto"/>
        <w:jc w:val="both"/>
        <w:rPr>
          <w:sz w:val="22"/>
          <w:szCs w:val="22"/>
          <w:lang w:val="en-US"/>
        </w:rPr>
      </w:pPr>
    </w:p>
    <w:p w14:paraId="519CFEA6" w14:textId="77777777" w:rsidR="00B75BB8" w:rsidRPr="002C1064" w:rsidRDefault="00B75BB8">
      <w:pPr>
        <w:pStyle w:val="1"/>
        <w:spacing w:after="200" w:line="276" w:lineRule="auto"/>
        <w:jc w:val="both"/>
        <w:rPr>
          <w:rFonts w:ascii="Times New Roman" w:eastAsia="Times New Roman" w:hAnsi="Times New Roman" w:cs="Times New Roman"/>
          <w:sz w:val="36"/>
          <w:szCs w:val="36"/>
          <w:lang w:val="en-US"/>
        </w:rPr>
      </w:pPr>
    </w:p>
    <w:sectPr w:rsidR="00B75BB8" w:rsidRPr="002C1064">
      <w:pgSz w:w="12240" w:h="15840"/>
      <w:pgMar w:top="993" w:right="900" w:bottom="851" w:left="1418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75BB8"/>
    <w:rsid w:val="00127129"/>
    <w:rsid w:val="002C1064"/>
    <w:rsid w:val="005251E1"/>
    <w:rsid w:val="007F249F"/>
    <w:rsid w:val="007F3036"/>
    <w:rsid w:val="00873769"/>
    <w:rsid w:val="00AD193E"/>
    <w:rsid w:val="00AD4210"/>
    <w:rsid w:val="00AE5790"/>
    <w:rsid w:val="00AF6916"/>
    <w:rsid w:val="00B75BB8"/>
    <w:rsid w:val="00C22D9C"/>
    <w:rsid w:val="00CE45DB"/>
    <w:rsid w:val="00E54530"/>
    <w:rsid w:val="00E9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0F321CDC"/>
  <w15:docId w15:val="{AF32A0B8-0125-A843-895A-E2CB659CE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lang w:val="el-GR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1"/>
    <w:next w:val="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1"/>
    <w:next w:val="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1"/>
    <w:next w:val="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1"/>
    <w:next w:val="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1"/>
    <w:next w:val="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1"/>
    <w:next w:val="1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Βασικό1"/>
  </w:style>
  <w:style w:type="paragraph" w:styleId="Title">
    <w:name w:val="Title"/>
    <w:basedOn w:val="1"/>
    <w:next w:val="1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2">
    <w:name w:val="Βασικό2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val="en-US"/>
    </w:rPr>
  </w:style>
  <w:style w:type="character" w:customStyle="1" w:styleId="10">
    <w:name w:val="Προεπιλεγμένη γραμματοσειρά1"/>
    <w:qFormat/>
    <w:rPr>
      <w:w w:val="100"/>
      <w:position w:val="-1"/>
      <w:effect w:val="none"/>
      <w:vertAlign w:val="baseline"/>
      <w:cs w:val="0"/>
      <w:em w:val="none"/>
    </w:rPr>
  </w:style>
  <w:style w:type="table" w:customStyle="1" w:styleId="11">
    <w:name w:val="Κανονικός πίνακας1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Χωρίς λίστα1"/>
    <w:qFormat/>
  </w:style>
  <w:style w:type="table" w:customStyle="1" w:styleId="13">
    <w:name w:val="Πλέγμα πίνακα1"/>
    <w:basedOn w:val="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ubtitle">
    <w:name w:val="Subtitle"/>
    <w:basedOn w:val="1"/>
    <w:next w:val="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45D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5D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08/JCOM-03-2013-0028" TargetMode="External"/><Relationship Id="rId13" Type="http://schemas.openxmlformats.org/officeDocument/2006/relationships/hyperlink" Target="https://www.emeraldinsight.com/author/Sherzada%2C+Muschda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emeraldinsight.com/author/Simcic+Br%C3%B8nn%2C+Peggy" TargetMode="External"/><Relationship Id="rId12" Type="http://schemas.openxmlformats.org/officeDocument/2006/relationships/hyperlink" Target="https://www.emeraldinsight.com/author/Zerfass%2C+Ansgar" TargetMode="External"/><Relationship Id="rId17" Type="http://schemas.openxmlformats.org/officeDocument/2006/relationships/hyperlink" Target="https://doi.org/10.1108/LODJ-04-2014-007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emeraldinsight.com/author/Valo%2C+Maarit" TargetMode="External"/><Relationship Id="rId1" Type="http://schemas.openxmlformats.org/officeDocument/2006/relationships/styles" Target="styles.xml"/><Relationship Id="rId6" Type="http://schemas.openxmlformats.org/officeDocument/2006/relationships/hyperlink" Target="https://doi.org/10.1108/13632541311318729" TargetMode="External"/><Relationship Id="rId11" Type="http://schemas.openxmlformats.org/officeDocument/2006/relationships/hyperlink" Target="https://www.emeraldinsight.com/author/Grace%2C+Debra" TargetMode="External"/><Relationship Id="rId5" Type="http://schemas.openxmlformats.org/officeDocument/2006/relationships/hyperlink" Target="https://www.emeraldinsight.com/author/Hashim%2C+Junaidah" TargetMode="External"/><Relationship Id="rId15" Type="http://schemas.openxmlformats.org/officeDocument/2006/relationships/hyperlink" Target="https://www.emeraldinsight.com/author/Hedman%2C+Eerika" TargetMode="External"/><Relationship Id="rId10" Type="http://schemas.openxmlformats.org/officeDocument/2006/relationships/hyperlink" Target="https://www.emeraldinsight.com/author/Krishnan%2C+Sudha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emeraldinsight.com/author/Wok%2C+Saodah" TargetMode="External"/><Relationship Id="rId9" Type="http://schemas.openxmlformats.org/officeDocument/2006/relationships/hyperlink" Target="https://www.emeraldinsight.com/author/Lin%2C+Ping" TargetMode="External"/><Relationship Id="rId14" Type="http://schemas.openxmlformats.org/officeDocument/2006/relationships/hyperlink" Target="https://doi.org/10.1108/CCIJ-04-2014-00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636</Words>
  <Characters>3628</Characters>
  <Application>Microsoft Office Word</Application>
  <DocSecurity>0</DocSecurity>
  <Lines>30</Lines>
  <Paragraphs>8</Paragraphs>
  <ScaleCrop>false</ScaleCrop>
  <Company>Artistiko</Company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2019-11-06T08:50:00Z</dcterms:created>
  <dcterms:modified xsi:type="dcterms:W3CDTF">2020-02-27T11:39:00Z</dcterms:modified>
</cp:coreProperties>
</file>